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
        <w:numPr>
          <w:ilvl w:val="0"/>
          <w:numId w:val="1"/>
        </w:numPr>
        <w:ind w:firstLineChars="0"/>
      </w:pPr>
      <w:bookmarkStart w:id="0" w:name="_GoBack"/>
      <w:bookmarkEnd w:id="0"/>
      <w:r>
        <w:t>采购需求：</w:t>
      </w:r>
    </w:p>
    <w:p>
      <w:pPr>
        <w:pStyle w:val="8"/>
        <w:numPr>
          <w:ilvl w:val="0"/>
          <w:numId w:val="2"/>
        </w:numPr>
        <w:ind w:firstLineChars="0"/>
      </w:pPr>
      <w:r>
        <w:rPr>
          <w:rFonts w:hint="eastAsia"/>
        </w:rPr>
        <w:t xml:space="preserve">采购清单 </w:t>
      </w:r>
    </w:p>
    <w:tbl>
      <w:tblPr>
        <w:tblStyle w:val="6"/>
        <w:tblW w:w="10350" w:type="dxa"/>
        <w:tblInd w:w="-461" w:type="dxa"/>
        <w:tblLayout w:type="autofit"/>
        <w:tblCellMar>
          <w:top w:w="0" w:type="dxa"/>
          <w:left w:w="108" w:type="dxa"/>
          <w:bottom w:w="0" w:type="dxa"/>
          <w:right w:w="108" w:type="dxa"/>
        </w:tblCellMar>
      </w:tblPr>
      <w:tblGrid>
        <w:gridCol w:w="760"/>
        <w:gridCol w:w="1227"/>
        <w:gridCol w:w="1843"/>
        <w:gridCol w:w="5528"/>
        <w:gridCol w:w="992"/>
      </w:tblGrid>
      <w:tr>
        <w:trPr>
          <w:trHeight w:val="315" w:hRule="atLeast"/>
        </w:trPr>
        <w:tc>
          <w:tcPr>
            <w:tcW w:w="760" w:type="dxa"/>
            <w:tcBorders>
              <w:top w:val="single" w:color="auto" w:sz="4" w:space="0"/>
              <w:left w:val="single" w:color="auto" w:sz="4" w:space="0"/>
              <w:bottom w:val="single" w:color="auto" w:sz="4" w:space="0"/>
              <w:right w:val="single" w:color="auto" w:sz="4" w:space="0"/>
            </w:tcBorders>
            <w:shd w:val="clear" w:color="000000" w:fill="00B0F0"/>
            <w:vAlign w:val="center"/>
          </w:tcPr>
          <w:p>
            <w:pPr>
              <w:widowControl/>
              <w:jc w:val="center"/>
              <w:rPr>
                <w:rFonts w:ascii="宋体" w:hAnsi="宋体" w:eastAsia="宋体" w:cs="宋体"/>
                <w:bCs/>
                <w:color w:val="FFFFFF"/>
                <w:kern w:val="0"/>
                <w:sz w:val="24"/>
                <w:szCs w:val="24"/>
              </w:rPr>
            </w:pPr>
            <w:r>
              <w:rPr>
                <w:rFonts w:hint="eastAsia" w:ascii="宋体" w:hAnsi="宋体" w:eastAsia="宋体" w:cs="宋体"/>
                <w:bCs/>
                <w:color w:val="FFFFFF"/>
                <w:kern w:val="0"/>
                <w:sz w:val="24"/>
                <w:szCs w:val="24"/>
              </w:rPr>
              <w:t>序号</w:t>
            </w:r>
          </w:p>
        </w:tc>
        <w:tc>
          <w:tcPr>
            <w:tcW w:w="1227" w:type="dxa"/>
            <w:tcBorders>
              <w:top w:val="single" w:color="auto" w:sz="4" w:space="0"/>
              <w:left w:val="nil"/>
              <w:bottom w:val="single" w:color="auto" w:sz="4" w:space="0"/>
              <w:right w:val="single" w:color="auto" w:sz="4" w:space="0"/>
            </w:tcBorders>
            <w:shd w:val="clear" w:color="000000" w:fill="00B0F0"/>
            <w:vAlign w:val="center"/>
          </w:tcPr>
          <w:p>
            <w:pPr>
              <w:widowControl/>
              <w:jc w:val="center"/>
              <w:rPr>
                <w:rFonts w:ascii="宋体" w:hAnsi="宋体" w:eastAsia="宋体" w:cs="宋体"/>
                <w:bCs/>
                <w:color w:val="FFFFFF"/>
                <w:kern w:val="0"/>
                <w:sz w:val="24"/>
                <w:szCs w:val="24"/>
              </w:rPr>
            </w:pPr>
            <w:r>
              <w:rPr>
                <w:rFonts w:hint="eastAsia" w:ascii="宋体" w:hAnsi="宋体" w:eastAsia="宋体" w:cs="宋体"/>
                <w:bCs/>
                <w:color w:val="FFFFFF"/>
                <w:kern w:val="0"/>
                <w:sz w:val="24"/>
                <w:szCs w:val="24"/>
              </w:rPr>
              <w:t>产品名称</w:t>
            </w:r>
          </w:p>
        </w:tc>
        <w:tc>
          <w:tcPr>
            <w:tcW w:w="1843" w:type="dxa"/>
            <w:tcBorders>
              <w:top w:val="single" w:color="auto" w:sz="4" w:space="0"/>
              <w:left w:val="nil"/>
              <w:bottom w:val="single" w:color="auto" w:sz="4" w:space="0"/>
              <w:right w:val="single" w:color="auto" w:sz="4" w:space="0"/>
            </w:tcBorders>
            <w:shd w:val="clear" w:color="000000" w:fill="00B0F0"/>
            <w:vAlign w:val="center"/>
          </w:tcPr>
          <w:p>
            <w:pPr>
              <w:widowControl/>
              <w:jc w:val="center"/>
              <w:rPr>
                <w:rFonts w:ascii="宋体" w:hAnsi="宋体" w:eastAsia="宋体" w:cs="宋体"/>
                <w:bCs/>
                <w:color w:val="FFFFFF"/>
                <w:kern w:val="0"/>
                <w:sz w:val="24"/>
                <w:szCs w:val="24"/>
              </w:rPr>
            </w:pPr>
            <w:r>
              <w:rPr>
                <w:rFonts w:hint="eastAsia" w:ascii="宋体" w:hAnsi="宋体" w:eastAsia="宋体" w:cs="宋体"/>
                <w:bCs/>
                <w:color w:val="FFFFFF"/>
                <w:kern w:val="0"/>
                <w:sz w:val="24"/>
                <w:szCs w:val="24"/>
              </w:rPr>
              <w:t>产品规格</w:t>
            </w:r>
          </w:p>
        </w:tc>
        <w:tc>
          <w:tcPr>
            <w:tcW w:w="5528" w:type="dxa"/>
            <w:tcBorders>
              <w:top w:val="single" w:color="auto" w:sz="4" w:space="0"/>
              <w:left w:val="nil"/>
              <w:bottom w:val="single" w:color="auto" w:sz="4" w:space="0"/>
              <w:right w:val="single" w:color="auto" w:sz="4" w:space="0"/>
            </w:tcBorders>
            <w:shd w:val="clear" w:color="000000" w:fill="00B0F0"/>
            <w:vAlign w:val="center"/>
          </w:tcPr>
          <w:p>
            <w:pPr>
              <w:widowControl/>
              <w:jc w:val="center"/>
              <w:rPr>
                <w:rFonts w:ascii="宋体" w:hAnsi="宋体" w:eastAsia="宋体" w:cs="宋体"/>
                <w:bCs/>
                <w:color w:val="FFFFFF"/>
                <w:kern w:val="0"/>
                <w:sz w:val="24"/>
                <w:szCs w:val="24"/>
              </w:rPr>
            </w:pPr>
            <w:r>
              <w:rPr>
                <w:rFonts w:hint="eastAsia" w:ascii="宋体" w:hAnsi="宋体" w:eastAsia="宋体" w:cs="宋体"/>
                <w:bCs/>
                <w:color w:val="FFFFFF"/>
                <w:kern w:val="0"/>
                <w:sz w:val="24"/>
                <w:szCs w:val="24"/>
              </w:rPr>
              <w:t>产品描述</w:t>
            </w:r>
          </w:p>
        </w:tc>
        <w:tc>
          <w:tcPr>
            <w:tcW w:w="992" w:type="dxa"/>
            <w:tcBorders>
              <w:top w:val="single" w:color="auto" w:sz="4" w:space="0"/>
              <w:left w:val="nil"/>
              <w:bottom w:val="single" w:color="auto" w:sz="4" w:space="0"/>
              <w:right w:val="single" w:color="auto" w:sz="4" w:space="0"/>
            </w:tcBorders>
            <w:shd w:val="clear" w:color="000000" w:fill="00B0F0"/>
            <w:vAlign w:val="center"/>
          </w:tcPr>
          <w:p>
            <w:pPr>
              <w:widowControl/>
              <w:jc w:val="center"/>
              <w:rPr>
                <w:rFonts w:ascii="宋体" w:hAnsi="宋体" w:eastAsia="宋体" w:cs="宋体"/>
                <w:bCs/>
                <w:color w:val="FFFFFF"/>
                <w:kern w:val="0"/>
                <w:sz w:val="24"/>
                <w:szCs w:val="24"/>
              </w:rPr>
            </w:pPr>
            <w:r>
              <w:rPr>
                <w:rFonts w:hint="eastAsia" w:ascii="宋体" w:hAnsi="宋体" w:eastAsia="宋体" w:cs="宋体"/>
                <w:bCs/>
                <w:color w:val="FFFFFF"/>
                <w:kern w:val="0"/>
                <w:sz w:val="24"/>
                <w:szCs w:val="24"/>
              </w:rPr>
              <w:t>数量</w:t>
            </w:r>
          </w:p>
        </w:tc>
      </w:tr>
      <w:tr>
        <w:trPr>
          <w:trHeight w:val="2235" w:hRule="atLeast"/>
        </w:trPr>
        <w:tc>
          <w:tcPr>
            <w:tcW w:w="7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1</w:t>
            </w:r>
          </w:p>
        </w:tc>
        <w:tc>
          <w:tcPr>
            <w:tcW w:w="12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终端安全管理系统</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防病毒+补丁管理+运维管控（-PC   (含移动存储管理功能授权）</w:t>
            </w:r>
          </w:p>
        </w:tc>
        <w:tc>
          <w:tcPr>
            <w:tcW w:w="55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防病毒功能+补丁+运维管控功能，支持Windows XP/VISTA/WIN7/WIN8/WIN10，可扩展其它操作系统平台。含三年升级服务。移动存储管理，支持对移动存储介质的身份注册、适用范围和读写权限管理、移动介质挂失管理、外出管理、终端设备例外、移动存储介质行为审计等功能。 客户端系统默认支持Windows XP/VISTA/WIN7/WIN8/WIN10。 含三年升级服务。</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1000点</w:t>
            </w:r>
          </w:p>
        </w:tc>
      </w:tr>
      <w:tr>
        <w:tblPrEx>
          <w:tblCellMar>
            <w:top w:w="0" w:type="dxa"/>
            <w:left w:w="108" w:type="dxa"/>
            <w:bottom w:w="0" w:type="dxa"/>
            <w:right w:w="108" w:type="dxa"/>
          </w:tblCellMar>
        </w:tblPrEx>
        <w:trPr>
          <w:trHeight w:val="2050" w:hRule="atLeast"/>
        </w:trPr>
        <w:tc>
          <w:tcPr>
            <w:tcW w:w="760" w:type="dxa"/>
            <w:tcBorders>
              <w:top w:val="nil"/>
              <w:left w:val="single" w:color="auto" w:sz="4" w:space="0"/>
              <w:bottom w:val="single" w:color="auto" w:sz="4" w:space="0"/>
              <w:right w:val="single" w:color="auto" w:sz="4" w:space="0"/>
            </w:tcBorders>
            <w:shd w:val="clear" w:color="auto" w:fill="auto"/>
            <w:noWrap/>
            <w:vAlign w:val="center"/>
          </w:tcPr>
          <w:p>
            <w:pPr>
              <w:widowControl/>
              <w:jc w:val="center"/>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2</w:t>
            </w:r>
          </w:p>
        </w:tc>
        <w:tc>
          <w:tcPr>
            <w:tcW w:w="1227"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服务器端安全管理系统</w:t>
            </w:r>
          </w:p>
        </w:tc>
        <w:tc>
          <w:tcPr>
            <w:tcW w:w="1843" w:type="dxa"/>
            <w:tcBorders>
              <w:top w:val="nil"/>
              <w:left w:val="nil"/>
              <w:bottom w:val="single" w:color="auto" w:sz="4" w:space="0"/>
              <w:right w:val="single" w:color="auto" w:sz="4" w:space="0"/>
            </w:tcBorders>
            <w:shd w:val="clear" w:color="auto" w:fill="auto"/>
            <w:vAlign w:val="center"/>
          </w:tcPr>
          <w:p>
            <w:pPr>
              <w:widowControl/>
              <w:jc w:val="center"/>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服务器防病毒补丁管理功能授权               （Windows服务器）</w:t>
            </w:r>
          </w:p>
        </w:tc>
        <w:tc>
          <w:tcPr>
            <w:tcW w:w="5528" w:type="dxa"/>
            <w:tcBorders>
              <w:top w:val="nil"/>
              <w:left w:val="nil"/>
              <w:bottom w:val="single" w:color="auto" w:sz="4" w:space="0"/>
              <w:right w:val="single" w:color="auto" w:sz="4" w:space="0"/>
            </w:tcBorders>
            <w:shd w:val="clear" w:color="auto" w:fill="auto"/>
            <w:vAlign w:val="center"/>
          </w:tcPr>
          <w:p>
            <w:pPr>
              <w:widowControl/>
              <w:jc w:val="left"/>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针对Windwos Server操作系统进行病毒查杀，提供主动防御系统防护等功能。支持对全网终端系统漏洞发现、补丁智能修复、强制修复等、蓝屏修复、补丁分发流量控制、客户端P2P补丁分发加速等功能。系统默认支持WIN2003/WIN2008/WIN2012/，含三年升级服务。</w:t>
            </w:r>
          </w:p>
        </w:tc>
        <w:tc>
          <w:tcPr>
            <w:tcW w:w="992" w:type="dxa"/>
            <w:tcBorders>
              <w:top w:val="nil"/>
              <w:left w:val="nil"/>
              <w:bottom w:val="single" w:color="auto" w:sz="4" w:space="0"/>
              <w:right w:val="single" w:color="auto" w:sz="4" w:space="0"/>
            </w:tcBorders>
            <w:shd w:val="clear" w:color="auto" w:fill="auto"/>
            <w:noWrap/>
            <w:vAlign w:val="center"/>
          </w:tcPr>
          <w:p>
            <w:pPr>
              <w:widowControl/>
              <w:jc w:val="center"/>
              <w:rPr>
                <w:rFonts w:ascii="宋体" w:hAnsi="宋体" w:eastAsia="宋体" w:cs="宋体"/>
                <w:b w:val="0"/>
                <w:color w:val="000000"/>
                <w:kern w:val="0"/>
                <w:sz w:val="20"/>
                <w:szCs w:val="20"/>
              </w:rPr>
            </w:pPr>
            <w:r>
              <w:rPr>
                <w:rFonts w:hint="eastAsia" w:ascii="宋体" w:hAnsi="宋体" w:eastAsia="宋体" w:cs="宋体"/>
                <w:b w:val="0"/>
                <w:color w:val="000000"/>
                <w:kern w:val="0"/>
                <w:sz w:val="20"/>
                <w:szCs w:val="20"/>
              </w:rPr>
              <w:t>150点</w:t>
            </w:r>
          </w:p>
        </w:tc>
      </w:tr>
    </w:tbl>
    <w:p>
      <w:pPr>
        <w:pStyle w:val="4"/>
        <w:adjustRightInd w:val="0"/>
        <w:snapToGrid w:val="0"/>
        <w:ind w:firstLine="281" w:firstLineChars="100"/>
        <w:rPr>
          <w:rFonts w:ascii="宋体" w:hAnsi="宋体" w:cs="宋体"/>
          <w:b/>
          <w:bCs/>
          <w:sz w:val="28"/>
          <w:szCs w:val="28"/>
        </w:rPr>
      </w:pPr>
      <w:r>
        <w:rPr>
          <w:rFonts w:hint="eastAsia" w:ascii="宋体" w:hAnsi="宋体" w:cs="宋体"/>
          <w:b/>
          <w:bCs/>
          <w:sz w:val="28"/>
          <w:szCs w:val="28"/>
        </w:rPr>
        <w:t>2、维保要求：</w:t>
      </w:r>
    </w:p>
    <w:p>
      <w:pPr>
        <w:adjustRightInd w:val="0"/>
        <w:snapToGrid w:val="0"/>
        <w:spacing w:line="360" w:lineRule="auto"/>
        <w:ind w:firstLine="420"/>
        <w:outlineLvl w:val="1"/>
        <w:rPr>
          <w:rFonts w:ascii="宋体" w:hAnsi="宋体"/>
          <w:sz w:val="21"/>
          <w:szCs w:val="21"/>
        </w:rPr>
      </w:pPr>
      <w:r>
        <w:rPr>
          <w:rFonts w:hint="eastAsia" w:ascii="宋体" w:hAnsi="宋体"/>
          <w:sz w:val="21"/>
          <w:szCs w:val="21"/>
        </w:rPr>
        <w:t>（1）培训服务</w:t>
      </w:r>
    </w:p>
    <w:p>
      <w:pPr>
        <w:adjustRightInd w:val="0"/>
        <w:snapToGrid w:val="0"/>
        <w:spacing w:line="360" w:lineRule="auto"/>
        <w:outlineLvl w:val="1"/>
        <w:rPr>
          <w:rFonts w:ascii="宋体" w:hAnsi="宋体"/>
          <w:sz w:val="21"/>
          <w:szCs w:val="21"/>
        </w:rPr>
      </w:pPr>
      <w:r>
        <w:rPr>
          <w:rFonts w:hint="eastAsia" w:ascii="宋体" w:hAnsi="宋体"/>
          <w:sz w:val="21"/>
          <w:szCs w:val="21"/>
        </w:rPr>
        <w:t>1）成交单位应免费提供采购人相关人员对产品的维护和操作的相关技术培训。</w:t>
      </w:r>
    </w:p>
    <w:p>
      <w:pPr>
        <w:adjustRightInd w:val="0"/>
        <w:snapToGrid w:val="0"/>
        <w:spacing w:line="360" w:lineRule="auto"/>
        <w:outlineLvl w:val="1"/>
        <w:rPr>
          <w:rFonts w:ascii="宋体" w:hAnsi="宋体"/>
          <w:sz w:val="21"/>
          <w:szCs w:val="21"/>
        </w:rPr>
      </w:pPr>
      <w:r>
        <w:rPr>
          <w:rFonts w:hint="eastAsia" w:ascii="宋体" w:hAnsi="宋体"/>
          <w:sz w:val="21"/>
          <w:szCs w:val="21"/>
        </w:rPr>
        <w:t>2）免费质保期：整体项目自合同验收之日起不低于三年，技术参数中有特殊要求的以技术参数中要求为准。质保期内，成交单位须对本项目维保范围提供专业维护服务方案。</w:t>
      </w:r>
    </w:p>
    <w:p>
      <w:pPr>
        <w:adjustRightInd w:val="0"/>
        <w:snapToGrid w:val="0"/>
        <w:spacing w:line="360" w:lineRule="auto"/>
        <w:outlineLvl w:val="1"/>
        <w:rPr>
          <w:rFonts w:ascii="宋体" w:hAnsi="宋体"/>
          <w:sz w:val="21"/>
          <w:szCs w:val="21"/>
        </w:rPr>
      </w:pPr>
      <w:r>
        <w:rPr>
          <w:rFonts w:hint="eastAsia" w:ascii="宋体" w:hAnsi="宋体"/>
          <w:sz w:val="21"/>
          <w:szCs w:val="21"/>
        </w:rPr>
        <w:t>3）对维保范围内所有设备进行定期的检查和排障工作，及时发现并解决系统内设备的故障隐患；当出现非正常状况时，确保维护范围内所有设备得到良好、优质的修复。</w:t>
      </w:r>
    </w:p>
    <w:p>
      <w:pPr>
        <w:adjustRightInd w:val="0"/>
        <w:snapToGrid w:val="0"/>
        <w:spacing w:line="360" w:lineRule="auto"/>
        <w:ind w:firstLine="420"/>
        <w:outlineLvl w:val="1"/>
        <w:rPr>
          <w:rFonts w:ascii="宋体" w:hAnsi="宋体"/>
          <w:sz w:val="21"/>
          <w:szCs w:val="21"/>
        </w:rPr>
      </w:pPr>
      <w:r>
        <w:rPr>
          <w:rFonts w:hint="eastAsia" w:ascii="宋体" w:hAnsi="宋体"/>
          <w:sz w:val="21"/>
          <w:szCs w:val="21"/>
        </w:rPr>
        <w:t>（2）服务目标：保障本项目维护范围内各个系统的正常运行；对系统进行定期的预防性维护，及时发现产品存在的潜在隐患；当软件故障时，确保系统能得到及时维护。</w:t>
      </w:r>
    </w:p>
    <w:p>
      <w:pPr>
        <w:adjustRightInd w:val="0"/>
        <w:snapToGrid w:val="0"/>
        <w:spacing w:line="360" w:lineRule="auto"/>
        <w:ind w:firstLine="420"/>
        <w:outlineLvl w:val="1"/>
        <w:rPr>
          <w:rFonts w:ascii="宋体" w:hAnsi="宋体"/>
          <w:sz w:val="21"/>
          <w:szCs w:val="21"/>
        </w:rPr>
      </w:pPr>
      <w:r>
        <w:rPr>
          <w:rFonts w:hint="eastAsia" w:ascii="宋体" w:hAnsi="宋体"/>
          <w:sz w:val="21"/>
          <w:szCs w:val="21"/>
        </w:rPr>
        <w:t>（3）服务内容</w:t>
      </w:r>
    </w:p>
    <w:p>
      <w:pPr>
        <w:adjustRightInd w:val="0"/>
        <w:snapToGrid w:val="0"/>
        <w:spacing w:line="360" w:lineRule="auto"/>
        <w:ind w:firstLine="422" w:firstLineChars="200"/>
        <w:outlineLvl w:val="1"/>
        <w:rPr>
          <w:rFonts w:ascii="宋体" w:hAnsi="宋体"/>
          <w:sz w:val="21"/>
          <w:szCs w:val="21"/>
        </w:rPr>
      </w:pPr>
      <w:r>
        <w:rPr>
          <w:rFonts w:hint="eastAsia" w:ascii="宋体" w:hAnsi="宋体"/>
          <w:sz w:val="21"/>
          <w:szCs w:val="21"/>
        </w:rPr>
        <w:t>1）成交单位对所有产品进行定期巡检服务，及时发现系统的功能异常。</w:t>
      </w:r>
    </w:p>
    <w:p>
      <w:pPr>
        <w:adjustRightInd w:val="0"/>
        <w:snapToGrid w:val="0"/>
        <w:spacing w:line="360" w:lineRule="auto"/>
        <w:ind w:firstLine="422" w:firstLineChars="200"/>
        <w:outlineLvl w:val="1"/>
        <w:rPr>
          <w:rFonts w:ascii="宋体" w:hAnsi="宋体"/>
          <w:sz w:val="21"/>
          <w:szCs w:val="21"/>
        </w:rPr>
      </w:pPr>
      <w:r>
        <w:rPr>
          <w:rFonts w:hint="eastAsia" w:ascii="宋体" w:hAnsi="宋体"/>
          <w:sz w:val="21"/>
          <w:szCs w:val="21"/>
        </w:rPr>
        <w:t>2）成交单位对所有产品进行必要的定期保养服务。</w:t>
      </w:r>
    </w:p>
    <w:p>
      <w:pPr>
        <w:adjustRightInd w:val="0"/>
        <w:snapToGrid w:val="0"/>
        <w:spacing w:line="360" w:lineRule="auto"/>
        <w:ind w:firstLine="422" w:firstLineChars="200"/>
        <w:outlineLvl w:val="1"/>
        <w:rPr>
          <w:rFonts w:ascii="宋体" w:hAnsi="宋体"/>
          <w:sz w:val="21"/>
          <w:szCs w:val="21"/>
        </w:rPr>
      </w:pPr>
      <w:r>
        <w:rPr>
          <w:rFonts w:hint="eastAsia" w:ascii="宋体" w:hAnsi="宋体"/>
          <w:sz w:val="21"/>
          <w:szCs w:val="21"/>
        </w:rPr>
        <w:t>3）成交单位负责项目所涉平台软件的功能维护及软件版本升级。</w:t>
      </w:r>
    </w:p>
    <w:p>
      <w:pPr>
        <w:adjustRightInd w:val="0"/>
        <w:snapToGrid w:val="0"/>
        <w:spacing w:line="360" w:lineRule="auto"/>
        <w:ind w:firstLine="422" w:firstLineChars="200"/>
        <w:outlineLvl w:val="1"/>
        <w:rPr>
          <w:rFonts w:ascii="宋体" w:hAnsi="宋体"/>
          <w:sz w:val="21"/>
          <w:szCs w:val="21"/>
        </w:rPr>
      </w:pPr>
      <w:r>
        <w:rPr>
          <w:rFonts w:hint="eastAsia" w:ascii="宋体" w:hAnsi="宋体"/>
          <w:sz w:val="21"/>
          <w:szCs w:val="21"/>
        </w:rPr>
        <w:t>4）成交单位对采购人的重大事件和重大活动进行技术支持和现场保障服务。</w:t>
      </w:r>
    </w:p>
    <w:p>
      <w:pPr>
        <w:adjustRightInd w:val="0"/>
        <w:snapToGrid w:val="0"/>
        <w:spacing w:line="360" w:lineRule="auto"/>
        <w:ind w:firstLine="420"/>
        <w:outlineLvl w:val="1"/>
        <w:rPr>
          <w:rFonts w:ascii="宋体" w:hAnsi="宋体"/>
          <w:sz w:val="21"/>
          <w:szCs w:val="21"/>
        </w:rPr>
      </w:pPr>
      <w:r>
        <w:rPr>
          <w:rFonts w:hint="eastAsia" w:ascii="宋体" w:hAnsi="宋体"/>
          <w:sz w:val="21"/>
          <w:szCs w:val="21"/>
        </w:rPr>
        <w:t>（4）维修要求</w:t>
      </w:r>
    </w:p>
    <w:p>
      <w:pPr>
        <w:adjustRightInd w:val="0"/>
        <w:snapToGrid w:val="0"/>
        <w:spacing w:line="360" w:lineRule="auto"/>
        <w:ind w:firstLine="422" w:firstLineChars="200"/>
        <w:outlineLvl w:val="1"/>
        <w:rPr>
          <w:rFonts w:ascii="宋体" w:hAnsi="宋体"/>
          <w:sz w:val="21"/>
          <w:szCs w:val="21"/>
        </w:rPr>
      </w:pPr>
      <w:r>
        <w:rPr>
          <w:rFonts w:hint="eastAsia" w:ascii="宋体" w:hAnsi="宋体"/>
          <w:sz w:val="21"/>
          <w:szCs w:val="21"/>
        </w:rPr>
        <w:t>1）成交单位应安排技术人员进行服务并配备必要的交通工具及维修装备。</w:t>
      </w:r>
    </w:p>
    <w:p>
      <w:pPr>
        <w:tabs>
          <w:tab w:val="left" w:pos="180"/>
          <w:tab w:val="left" w:pos="360"/>
        </w:tabs>
        <w:adjustRightInd w:val="0"/>
        <w:snapToGrid w:val="0"/>
        <w:spacing w:line="360" w:lineRule="auto"/>
        <w:ind w:firstLine="422" w:firstLineChars="200"/>
        <w:rPr>
          <w:rFonts w:ascii="宋体" w:hAnsi="宋体"/>
          <w:sz w:val="21"/>
          <w:szCs w:val="21"/>
        </w:rPr>
      </w:pPr>
      <w:r>
        <w:rPr>
          <w:rFonts w:hint="eastAsia" w:ascii="宋体" w:hAnsi="宋体"/>
          <w:sz w:val="21"/>
          <w:szCs w:val="21"/>
        </w:rPr>
        <w:t>2）成交单位必须提供7天×24小时服务，在使用中发生应用故障，成交单位应在接到采购人请求服务电话后2小时内予以响应并答复。</w:t>
      </w:r>
    </w:p>
    <w:p>
      <w:pPr>
        <w:adjustRightInd w:val="0"/>
        <w:snapToGrid w:val="0"/>
        <w:spacing w:line="360" w:lineRule="auto"/>
        <w:ind w:firstLine="420"/>
        <w:outlineLvl w:val="1"/>
        <w:rPr>
          <w:rFonts w:ascii="宋体" w:hAnsi="宋体"/>
          <w:sz w:val="21"/>
          <w:szCs w:val="21"/>
        </w:rPr>
      </w:pPr>
      <w:r>
        <w:rPr>
          <w:rFonts w:hint="eastAsia" w:ascii="宋体" w:hAnsi="宋体"/>
          <w:sz w:val="21"/>
          <w:szCs w:val="21"/>
        </w:rPr>
        <w:t>（5）其他</w:t>
      </w:r>
    </w:p>
    <w:p>
      <w:pPr>
        <w:adjustRightInd w:val="0"/>
        <w:snapToGrid w:val="0"/>
        <w:spacing w:line="360" w:lineRule="auto"/>
        <w:ind w:firstLine="420"/>
        <w:rPr>
          <w:rFonts w:ascii="宋体" w:hAnsi="宋体" w:cs="宋体"/>
          <w:bCs/>
          <w:kern w:val="0"/>
          <w:sz w:val="21"/>
          <w:szCs w:val="21"/>
        </w:rPr>
      </w:pPr>
      <w:r>
        <w:rPr>
          <w:rFonts w:hint="eastAsia" w:ascii="宋体" w:hAnsi="宋体" w:cs="宋体"/>
          <w:bCs/>
          <w:kern w:val="0"/>
          <w:sz w:val="21"/>
          <w:szCs w:val="21"/>
        </w:rPr>
        <w:t>3、验收标准：</w:t>
      </w:r>
    </w:p>
    <w:p>
      <w:pPr>
        <w:adjustRightInd w:val="0"/>
        <w:snapToGrid w:val="0"/>
        <w:spacing w:line="360" w:lineRule="auto"/>
        <w:ind w:firstLine="420"/>
        <w:rPr>
          <w:rFonts w:ascii="宋体" w:hAnsi="宋体"/>
          <w:sz w:val="21"/>
          <w:szCs w:val="21"/>
        </w:rPr>
      </w:pPr>
      <w:r>
        <w:rPr>
          <w:rFonts w:hint="eastAsia" w:ascii="宋体" w:hAnsi="宋体"/>
          <w:sz w:val="21"/>
          <w:szCs w:val="21"/>
        </w:rPr>
        <w:t>根据采购文件要求及有关规定由采购人组织验收通过。对涉及本项目的所有设备、配件必须满足采购文件全部要求，否则采购单位不予验收。</w:t>
      </w:r>
    </w:p>
    <w:p>
      <w:pPr>
        <w:pStyle w:val="8"/>
        <w:numPr>
          <w:ilvl w:val="0"/>
          <w:numId w:val="1"/>
        </w:numPr>
        <w:adjustRightInd w:val="0"/>
        <w:snapToGrid w:val="0"/>
        <w:spacing w:line="360" w:lineRule="auto"/>
        <w:ind w:firstLineChars="0"/>
        <w:rPr>
          <w:rFonts w:ascii="宋体" w:hAnsi="宋体" w:eastAsia="宋体" w:cs="宋体"/>
        </w:rPr>
      </w:pPr>
      <w:r>
        <w:rPr>
          <w:rFonts w:ascii="宋体" w:hAnsi="宋体" w:eastAsia="宋体" w:cs="宋体"/>
        </w:rPr>
        <w:t>采购预算：</w:t>
      </w:r>
    </w:p>
    <w:p>
      <w:pPr>
        <w:pStyle w:val="4"/>
        <w:adjustRightInd w:val="0"/>
        <w:snapToGrid w:val="0"/>
        <w:ind w:firstLine="420"/>
        <w:jc w:val="left"/>
        <w:rPr>
          <w:rFonts w:ascii="宋体" w:hAnsi="宋体"/>
          <w:sz w:val="21"/>
          <w:szCs w:val="21"/>
        </w:rPr>
      </w:pPr>
      <w:r>
        <w:rPr>
          <w:rFonts w:hint="eastAsia" w:ascii="宋体" w:hAnsi="宋体" w:cs="宋体"/>
          <w:sz w:val="21"/>
          <w:szCs w:val="21"/>
        </w:rPr>
        <w:t>交付期及地点：</w:t>
      </w:r>
      <w:r>
        <w:rPr>
          <w:rFonts w:hint="eastAsia" w:ascii="宋体" w:hAnsi="宋体"/>
          <w:sz w:val="21"/>
          <w:szCs w:val="21"/>
        </w:rPr>
        <w:t>交付期：签订合同后，15日内完成交付并安装调试完毕。（具体根据采购方要求）</w:t>
      </w:r>
    </w:p>
    <w:p>
      <w:pPr>
        <w:pStyle w:val="4"/>
        <w:adjustRightInd w:val="0"/>
        <w:snapToGrid w:val="0"/>
        <w:ind w:firstLine="420"/>
        <w:jc w:val="left"/>
        <w:rPr>
          <w:rFonts w:ascii="宋体" w:hAnsi="宋体" w:cs="宋体"/>
          <w:b/>
        </w:rPr>
      </w:pPr>
      <w:r>
        <w:rPr>
          <w:rFonts w:hint="eastAsia" w:ascii="宋体" w:hAnsi="宋体"/>
          <w:sz w:val="21"/>
          <w:szCs w:val="21"/>
        </w:rPr>
        <w:t xml:space="preserve"> 交货地点：根据采购人要求送达指定地点。（按采购方通知为准）</w:t>
      </w:r>
    </w:p>
    <w:p>
      <w:pPr>
        <w:adjustRightInd w:val="0"/>
        <w:snapToGrid w:val="0"/>
        <w:spacing w:line="360" w:lineRule="auto"/>
        <w:jc w:val="left"/>
        <w:textAlignment w:val="baseline"/>
        <w:rPr>
          <w:rFonts w:ascii="宋体" w:hAnsi="宋体" w:cs="宋体"/>
        </w:rPr>
      </w:pPr>
      <w:r>
        <w:rPr>
          <w:rFonts w:hint="eastAsia" w:ascii="宋体" w:hAnsi="宋体" w:cs="宋体"/>
        </w:rPr>
        <w:t>三、谈判供应商应当具备下列条件：</w:t>
      </w:r>
    </w:p>
    <w:p>
      <w:pPr>
        <w:overflowPunct w:val="0"/>
        <w:adjustRightInd w:val="0"/>
        <w:snapToGrid w:val="0"/>
        <w:spacing w:line="360" w:lineRule="auto"/>
        <w:ind w:firstLine="562" w:firstLineChars="200"/>
        <w:jc w:val="left"/>
        <w:rPr>
          <w:rFonts w:ascii="宋体" w:hAnsi="宋体" w:cs="宋体"/>
          <w:szCs w:val="21"/>
        </w:rPr>
      </w:pPr>
      <w:r>
        <w:rPr>
          <w:rFonts w:hint="eastAsia" w:ascii="宋体" w:hAnsi="宋体" w:cs="宋体"/>
          <w:szCs w:val="21"/>
        </w:rPr>
        <w:t>A、符合《中华人民共和国政府采购法》之第二十二条“供应商参加政府采购活动应当具备下列条件”：</w:t>
      </w:r>
    </w:p>
    <w:p>
      <w:pPr>
        <w:pStyle w:val="4"/>
        <w:adjustRightInd w:val="0"/>
        <w:snapToGrid w:val="0"/>
        <w:ind w:firstLine="420"/>
        <w:jc w:val="left"/>
        <w:rPr>
          <w:rFonts w:ascii="宋体" w:hAnsi="宋体"/>
          <w:sz w:val="21"/>
          <w:szCs w:val="21"/>
        </w:rPr>
      </w:pPr>
      <w:r>
        <w:rPr>
          <w:rFonts w:hint="eastAsia" w:ascii="宋体" w:hAnsi="宋体"/>
          <w:sz w:val="21"/>
          <w:szCs w:val="21"/>
        </w:rPr>
        <w:t>A、应当具备下列一般条件：</w:t>
      </w:r>
    </w:p>
    <w:p>
      <w:pPr>
        <w:pStyle w:val="5"/>
        <w:adjustRightInd w:val="0"/>
        <w:snapToGrid w:val="0"/>
        <w:spacing w:before="0" w:after="0" w:line="360" w:lineRule="auto"/>
        <w:ind w:firstLine="420" w:firstLineChars="200"/>
        <w:rPr>
          <w:rFonts w:cs="Times New Roman"/>
          <w:kern w:val="2"/>
          <w:sz w:val="21"/>
          <w:szCs w:val="21"/>
        </w:rPr>
      </w:pPr>
      <w:r>
        <w:rPr>
          <w:rFonts w:hint="eastAsia" w:cs="Times New Roman"/>
          <w:kern w:val="2"/>
          <w:sz w:val="21"/>
          <w:szCs w:val="21"/>
        </w:rPr>
        <w:t>1.</w:t>
      </w:r>
      <w:r>
        <w:rPr>
          <w:rFonts w:cs="Times New Roman"/>
          <w:kern w:val="2"/>
          <w:sz w:val="21"/>
          <w:szCs w:val="21"/>
        </w:rPr>
        <w:t>具有独立承担民事责任的能力；</w:t>
      </w:r>
    </w:p>
    <w:p>
      <w:pPr>
        <w:pStyle w:val="5"/>
        <w:adjustRightInd w:val="0"/>
        <w:snapToGrid w:val="0"/>
        <w:spacing w:before="0" w:after="0" w:line="360" w:lineRule="auto"/>
        <w:ind w:firstLine="420" w:firstLineChars="200"/>
        <w:rPr>
          <w:rFonts w:cs="Times New Roman"/>
          <w:kern w:val="2"/>
          <w:sz w:val="21"/>
          <w:szCs w:val="21"/>
        </w:rPr>
      </w:pPr>
      <w:r>
        <w:rPr>
          <w:rFonts w:hint="eastAsia" w:cs="Times New Roman"/>
          <w:kern w:val="2"/>
          <w:sz w:val="21"/>
          <w:szCs w:val="21"/>
        </w:rPr>
        <w:t>2.</w:t>
      </w:r>
      <w:r>
        <w:rPr>
          <w:rFonts w:cs="Times New Roman"/>
          <w:kern w:val="2"/>
          <w:sz w:val="21"/>
          <w:szCs w:val="21"/>
        </w:rPr>
        <w:t>具有良好的商业信誉和健全的财务</w:t>
      </w:r>
      <w:r>
        <w:rPr>
          <w:rFonts w:hint="eastAsia" w:cs="Times New Roman"/>
          <w:kern w:val="2"/>
          <w:sz w:val="21"/>
          <w:szCs w:val="21"/>
        </w:rPr>
        <w:t>会计制度</w:t>
      </w:r>
      <w:r>
        <w:rPr>
          <w:rFonts w:cs="Times New Roman"/>
          <w:kern w:val="2"/>
          <w:sz w:val="21"/>
          <w:szCs w:val="21"/>
        </w:rPr>
        <w:t>；</w:t>
      </w:r>
    </w:p>
    <w:p>
      <w:pPr>
        <w:pStyle w:val="5"/>
        <w:adjustRightInd w:val="0"/>
        <w:snapToGrid w:val="0"/>
        <w:spacing w:before="0" w:after="0" w:line="360" w:lineRule="auto"/>
        <w:ind w:firstLine="420" w:firstLineChars="200"/>
        <w:rPr>
          <w:rFonts w:cs="Times New Roman"/>
          <w:kern w:val="2"/>
          <w:sz w:val="21"/>
          <w:szCs w:val="21"/>
        </w:rPr>
      </w:pPr>
      <w:r>
        <w:rPr>
          <w:rFonts w:hint="eastAsia" w:cs="Times New Roman"/>
          <w:kern w:val="2"/>
          <w:sz w:val="21"/>
          <w:szCs w:val="21"/>
        </w:rPr>
        <w:t>3.</w:t>
      </w:r>
      <w:r>
        <w:rPr>
          <w:rFonts w:cs="Times New Roman"/>
          <w:kern w:val="2"/>
          <w:sz w:val="21"/>
          <w:szCs w:val="21"/>
        </w:rPr>
        <w:t>具有履行合同所必需的设备和专业技术能力；</w:t>
      </w:r>
    </w:p>
    <w:p>
      <w:pPr>
        <w:pStyle w:val="5"/>
        <w:adjustRightInd w:val="0"/>
        <w:snapToGrid w:val="0"/>
        <w:spacing w:before="0" w:after="0" w:line="360" w:lineRule="auto"/>
        <w:ind w:firstLine="420" w:firstLineChars="200"/>
        <w:rPr>
          <w:rFonts w:cs="Times New Roman"/>
          <w:kern w:val="2"/>
          <w:sz w:val="21"/>
          <w:szCs w:val="21"/>
        </w:rPr>
      </w:pPr>
      <w:r>
        <w:rPr>
          <w:rFonts w:hint="eastAsia" w:cs="Times New Roman"/>
          <w:kern w:val="2"/>
          <w:sz w:val="21"/>
          <w:szCs w:val="21"/>
        </w:rPr>
        <w:t>4.</w:t>
      </w:r>
      <w:r>
        <w:rPr>
          <w:rFonts w:cs="Times New Roman"/>
          <w:kern w:val="2"/>
          <w:sz w:val="21"/>
          <w:szCs w:val="21"/>
        </w:rPr>
        <w:t>有依法缴纳税收和社会保障资金的良好记录；</w:t>
      </w:r>
    </w:p>
    <w:p>
      <w:pPr>
        <w:pStyle w:val="5"/>
        <w:adjustRightInd w:val="0"/>
        <w:snapToGrid w:val="0"/>
        <w:spacing w:before="0" w:after="0" w:line="360" w:lineRule="auto"/>
        <w:ind w:firstLine="420" w:firstLineChars="200"/>
        <w:rPr>
          <w:rFonts w:cs="Times New Roman"/>
          <w:kern w:val="2"/>
          <w:sz w:val="21"/>
          <w:szCs w:val="21"/>
        </w:rPr>
      </w:pPr>
      <w:r>
        <w:rPr>
          <w:rFonts w:hint="eastAsia" w:cs="Times New Roman"/>
          <w:kern w:val="2"/>
          <w:sz w:val="21"/>
          <w:szCs w:val="21"/>
        </w:rPr>
        <w:t>5.</w:t>
      </w:r>
      <w:r>
        <w:rPr>
          <w:rFonts w:cs="Times New Roman"/>
          <w:kern w:val="2"/>
          <w:sz w:val="21"/>
          <w:szCs w:val="21"/>
        </w:rPr>
        <w:t>参加政府采购活动前三年内，在经营活动中没有重大违法记录；</w:t>
      </w:r>
    </w:p>
    <w:p>
      <w:pPr>
        <w:pStyle w:val="5"/>
        <w:adjustRightInd w:val="0"/>
        <w:snapToGrid w:val="0"/>
        <w:spacing w:before="0" w:after="0" w:line="360" w:lineRule="auto"/>
        <w:ind w:firstLine="420" w:firstLineChars="200"/>
        <w:rPr>
          <w:rFonts w:cs="Times New Roman"/>
          <w:kern w:val="2"/>
          <w:sz w:val="21"/>
          <w:szCs w:val="21"/>
        </w:rPr>
      </w:pPr>
      <w:r>
        <w:rPr>
          <w:rFonts w:hint="eastAsia" w:cs="Times New Roman"/>
          <w:kern w:val="2"/>
          <w:sz w:val="21"/>
          <w:szCs w:val="21"/>
        </w:rPr>
        <w:t>6.</w:t>
      </w:r>
      <w:r>
        <w:rPr>
          <w:rFonts w:cs="Times New Roman"/>
          <w:kern w:val="2"/>
          <w:sz w:val="21"/>
          <w:szCs w:val="21"/>
        </w:rPr>
        <w:t>法律、行政法规规定的其他条件。</w:t>
      </w:r>
    </w:p>
    <w:p>
      <w:pPr>
        <w:pStyle w:val="4"/>
        <w:adjustRightInd w:val="0"/>
        <w:snapToGrid w:val="0"/>
        <w:ind w:firstLine="562"/>
        <w:jc w:val="left"/>
        <w:rPr>
          <w:rFonts w:ascii="宋体" w:hAnsi="宋体"/>
          <w:b/>
          <w:sz w:val="28"/>
          <w:szCs w:val="28"/>
        </w:rPr>
      </w:pPr>
      <w:r>
        <w:rPr>
          <w:rFonts w:hint="eastAsia" w:ascii="宋体" w:hAnsi="宋体"/>
          <w:b/>
          <w:sz w:val="28"/>
          <w:szCs w:val="28"/>
        </w:rPr>
        <w:t>B、供应商应当具备下列特殊条件：</w:t>
      </w:r>
    </w:p>
    <w:p>
      <w:pPr>
        <w:pStyle w:val="4"/>
        <w:numPr>
          <w:ilvl w:val="0"/>
          <w:numId w:val="3"/>
        </w:numPr>
        <w:adjustRightInd w:val="0"/>
        <w:snapToGrid w:val="0"/>
        <w:ind w:firstLine="420"/>
        <w:jc w:val="left"/>
        <w:rPr>
          <w:rFonts w:ascii="宋体" w:hAnsi="宋体"/>
          <w:sz w:val="21"/>
          <w:szCs w:val="21"/>
        </w:rPr>
      </w:pPr>
      <w:r>
        <w:rPr>
          <w:rFonts w:hint="eastAsia" w:ascii="宋体" w:hAnsi="宋体"/>
          <w:sz w:val="21"/>
          <w:szCs w:val="21"/>
        </w:rPr>
        <w:t>本次采购不接受联合体投标；</w:t>
      </w:r>
    </w:p>
    <w:p>
      <w:pPr>
        <w:pStyle w:val="4"/>
        <w:numPr>
          <w:ilvl w:val="0"/>
          <w:numId w:val="3"/>
        </w:numPr>
        <w:adjustRightInd w:val="0"/>
        <w:snapToGrid w:val="0"/>
        <w:ind w:firstLine="420"/>
        <w:jc w:val="left"/>
        <w:rPr>
          <w:rFonts w:ascii="宋体" w:hAnsi="宋体"/>
          <w:sz w:val="21"/>
          <w:szCs w:val="21"/>
        </w:rPr>
      </w:pPr>
      <w:r>
        <w:rPr>
          <w:rFonts w:hint="eastAsia" w:ascii="宋体" w:hAnsi="宋体"/>
          <w:sz w:val="21"/>
          <w:szCs w:val="21"/>
        </w:rPr>
        <w:t>本次采购不接受进口产品。</w:t>
      </w:r>
    </w:p>
    <w:p>
      <w:pPr>
        <w:adjustRightInd w:val="0"/>
        <w:snapToGrid w:val="0"/>
        <w:spacing w:line="360" w:lineRule="auto"/>
        <w:ind w:firstLine="560" w:firstLineChars="200"/>
        <w:jc w:val="left"/>
        <w:rPr>
          <w:rFonts w:ascii="宋体" w:hAnsi="宋体" w:cs="宋体"/>
          <w:szCs w:val="21"/>
        </w:rPr>
      </w:pPr>
      <w:r>
        <w:rPr>
          <w:rFonts w:hint="eastAsia" w:ascii="宋体" w:hAnsi="宋体"/>
          <w:b w:val="0"/>
          <w:bCs/>
          <w:szCs w:val="21"/>
          <w:u w:val="single"/>
        </w:rPr>
        <w:t>注：</w:t>
      </w:r>
      <w:r>
        <w:rPr>
          <w:rFonts w:ascii="宋体" w:hAnsi="宋体"/>
          <w:b w:val="0"/>
          <w:bCs/>
          <w:szCs w:val="21"/>
          <w:u w:val="single"/>
        </w:rPr>
        <w:t>法定代表人</w:t>
      </w:r>
      <w:r>
        <w:rPr>
          <w:rFonts w:hint="eastAsia" w:ascii="宋体" w:hAnsi="宋体"/>
          <w:b w:val="0"/>
          <w:bCs/>
          <w:szCs w:val="21"/>
          <w:u w:val="single"/>
        </w:rPr>
        <w:t>/</w:t>
      </w:r>
      <w:r>
        <w:rPr>
          <w:rFonts w:ascii="宋体" w:hAnsi="宋体"/>
          <w:b w:val="0"/>
          <w:bCs/>
          <w:szCs w:val="21"/>
          <w:u w:val="single"/>
        </w:rPr>
        <w:t>负责人为同一人或者存在控股、管理关系的不同单位，不得参加同一标段投标或者未划分标段的同一招标项目投标；</w:t>
      </w:r>
    </w:p>
    <w:p>
      <w:pPr>
        <w:adjustRightInd w:val="0"/>
        <w:snapToGrid w:val="0"/>
        <w:spacing w:line="360" w:lineRule="auto"/>
        <w:rPr>
          <w:rFonts w:ascii="宋体" w:hAnsi="宋体" w:eastAsia="宋体" w:cs="宋体"/>
        </w:rPr>
      </w:pPr>
    </w:p>
    <w:p>
      <w:pPr>
        <w:adjustRightInd w:val="0"/>
        <w:snapToGrid w:val="0"/>
        <w:spacing w:line="360" w:lineRule="auto"/>
        <w:rPr>
          <w:rFonts w:ascii="宋体" w:hAnsi="宋体" w:eastAsia="宋体" w:cs="宋体"/>
        </w:rPr>
      </w:pPr>
    </w:p>
    <w:p>
      <w:pPr>
        <w:adjustRightInd w:val="0"/>
        <w:snapToGrid w:val="0"/>
        <w:spacing w:line="360" w:lineRule="auto"/>
        <w:rPr>
          <w:rFonts w:ascii="宋体" w:hAnsi="宋体" w:eastAsia="宋体" w:cs="宋体"/>
        </w:rPr>
      </w:pPr>
    </w:p>
    <w:p>
      <w:pPr>
        <w:adjustRightInd w:val="0"/>
        <w:snapToGrid w:val="0"/>
        <w:spacing w:line="360" w:lineRule="auto"/>
        <w:rPr>
          <w:rFonts w:ascii="宋体" w:hAnsi="宋体" w:eastAsia="宋体" w:cs="宋体"/>
        </w:rPr>
      </w:pPr>
    </w:p>
    <w:p>
      <w:pPr>
        <w:adjustRightInd w:val="0"/>
        <w:snapToGrid w:val="0"/>
        <w:spacing w:line="360" w:lineRule="auto"/>
        <w:rPr>
          <w:rFonts w:ascii="宋体" w:hAnsi="宋体" w:eastAsia="宋体" w:cs="宋体"/>
        </w:rPr>
      </w:pPr>
    </w:p>
    <w:p>
      <w:pPr>
        <w:adjustRightInd w:val="0"/>
        <w:snapToGrid w:val="0"/>
        <w:spacing w:line="360" w:lineRule="auto"/>
        <w:rPr>
          <w:rFonts w:ascii="宋体" w:hAnsi="宋体" w:eastAsia="宋体" w:cs="宋体"/>
        </w:rPr>
      </w:pPr>
    </w:p>
    <w:p>
      <w:pPr>
        <w:adjustRightInd w:val="0"/>
        <w:snapToGrid w:val="0"/>
        <w:spacing w:line="360" w:lineRule="auto"/>
        <w:rPr>
          <w:rFonts w:ascii="宋体" w:hAnsi="宋体" w:eastAsia="宋体" w:cs="宋体"/>
        </w:rPr>
      </w:pPr>
    </w:p>
    <w:p>
      <w:pPr>
        <w:adjustRightInd w:val="0"/>
        <w:snapToGrid w:val="0"/>
        <w:spacing w:line="360" w:lineRule="auto"/>
        <w:rPr>
          <w:rFonts w:ascii="宋体" w:hAnsi="宋体" w:eastAsia="宋体" w:cs="宋体"/>
        </w:rPr>
      </w:pPr>
      <w:r>
        <w:rPr>
          <w:rFonts w:hint="eastAsia" w:ascii="宋体" w:hAnsi="宋体" w:eastAsia="宋体" w:cs="宋体"/>
        </w:rPr>
        <w:t>四、详细技术参数</w:t>
      </w:r>
    </w:p>
    <w:tbl>
      <w:tblPr>
        <w:tblStyle w:val="6"/>
        <w:tblW w:w="9348" w:type="dxa"/>
        <w:tblInd w:w="0" w:type="dxa"/>
        <w:tblLayout w:type="autofit"/>
        <w:tblCellMar>
          <w:top w:w="0" w:type="dxa"/>
          <w:left w:w="108" w:type="dxa"/>
          <w:bottom w:w="0" w:type="dxa"/>
          <w:right w:w="108" w:type="dxa"/>
        </w:tblCellMar>
      </w:tblPr>
      <w:tblGrid>
        <w:gridCol w:w="843"/>
        <w:gridCol w:w="1417"/>
        <w:gridCol w:w="7088"/>
      </w:tblGrid>
      <w:tr>
        <w:tblPrEx>
          <w:tblCellMar>
            <w:top w:w="0" w:type="dxa"/>
            <w:left w:w="108" w:type="dxa"/>
            <w:bottom w:w="0" w:type="dxa"/>
            <w:right w:w="108" w:type="dxa"/>
          </w:tblCellMar>
        </w:tblPrEx>
        <w:trPr>
          <w:trHeight w:val="480" w:hRule="atLeast"/>
        </w:trPr>
        <w:tc>
          <w:tcPr>
            <w:tcW w:w="9348" w:type="dxa"/>
            <w:gridSpan w:val="3"/>
            <w:tcBorders>
              <w:top w:val="single" w:color="auto" w:sz="8" w:space="0"/>
              <w:left w:val="single" w:color="auto" w:sz="8" w:space="0"/>
              <w:bottom w:val="single" w:color="auto" w:sz="8" w:space="0"/>
              <w:right w:val="single" w:color="000000" w:sz="8" w:space="0"/>
            </w:tcBorders>
            <w:shd w:val="clear" w:color="auto" w:fill="auto"/>
            <w:noWrap/>
            <w:vAlign w:val="center"/>
          </w:tcPr>
          <w:p>
            <w:pPr>
              <w:widowControl/>
              <w:jc w:val="center"/>
              <w:rPr>
                <w:rFonts w:ascii="宋体" w:hAnsi="宋体" w:eastAsia="宋体" w:cs="宋体"/>
                <w:b w:val="0"/>
                <w:bCs/>
                <w:kern w:val="0"/>
                <w:sz w:val="24"/>
                <w:szCs w:val="24"/>
              </w:rPr>
            </w:pPr>
            <w:r>
              <w:rPr>
                <w:rFonts w:hint="eastAsia" w:ascii="宋体" w:hAnsi="宋体" w:eastAsia="宋体" w:cs="宋体"/>
                <w:bCs/>
                <w:kern w:val="0"/>
                <w:sz w:val="24"/>
                <w:szCs w:val="24"/>
              </w:rPr>
              <w:t>终端安全管理系统招标参数</w:t>
            </w:r>
          </w:p>
        </w:tc>
      </w:tr>
      <w:tr>
        <w:tblPrEx>
          <w:tblCellMar>
            <w:top w:w="0" w:type="dxa"/>
            <w:left w:w="108" w:type="dxa"/>
            <w:bottom w:w="0" w:type="dxa"/>
            <w:right w:w="108" w:type="dxa"/>
          </w:tblCellMar>
        </w:tblPrEx>
        <w:trPr>
          <w:trHeight w:val="690" w:hRule="atLeast"/>
        </w:trPr>
        <w:tc>
          <w:tcPr>
            <w:tcW w:w="2260" w:type="dxa"/>
            <w:gridSpan w:val="2"/>
            <w:tcBorders>
              <w:top w:val="single" w:color="auto" w:sz="8" w:space="0"/>
              <w:left w:val="single" w:color="auto" w:sz="8" w:space="0"/>
              <w:bottom w:val="single" w:color="auto" w:sz="8" w:space="0"/>
              <w:right w:val="single" w:color="000000" w:sz="8" w:space="0"/>
            </w:tcBorders>
            <w:shd w:val="clear" w:color="auto" w:fill="auto"/>
            <w:vAlign w:val="center"/>
          </w:tcPr>
          <w:p>
            <w:pPr>
              <w:widowControl/>
              <w:jc w:val="center"/>
              <w:rPr>
                <w:rFonts w:ascii="宋体" w:hAnsi="宋体" w:eastAsia="宋体" w:cs="宋体"/>
                <w:b w:val="0"/>
                <w:bCs/>
                <w:kern w:val="0"/>
                <w:sz w:val="20"/>
                <w:szCs w:val="20"/>
              </w:rPr>
            </w:pPr>
            <w:r>
              <w:rPr>
                <w:rFonts w:hint="eastAsia" w:ascii="宋体" w:hAnsi="宋体" w:eastAsia="宋体" w:cs="宋体"/>
                <w:bCs/>
                <w:kern w:val="0"/>
                <w:sz w:val="20"/>
                <w:szCs w:val="20"/>
              </w:rPr>
              <w:t>技术指标</w:t>
            </w:r>
          </w:p>
        </w:tc>
        <w:tc>
          <w:tcPr>
            <w:tcW w:w="7088"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b w:val="0"/>
                <w:bCs/>
                <w:kern w:val="0"/>
                <w:sz w:val="20"/>
                <w:szCs w:val="20"/>
              </w:rPr>
            </w:pPr>
            <w:r>
              <w:rPr>
                <w:rFonts w:hint="eastAsia" w:ascii="宋体" w:hAnsi="宋体" w:eastAsia="宋体" w:cs="宋体"/>
                <w:bCs/>
                <w:kern w:val="0"/>
                <w:sz w:val="20"/>
                <w:szCs w:val="20"/>
              </w:rPr>
              <w:t>指标要求</w:t>
            </w:r>
          </w:p>
        </w:tc>
      </w:tr>
      <w:tr>
        <w:tblPrEx>
          <w:tblCellMar>
            <w:top w:w="0" w:type="dxa"/>
            <w:left w:w="108" w:type="dxa"/>
            <w:bottom w:w="0" w:type="dxa"/>
            <w:right w:w="108" w:type="dxa"/>
          </w:tblCellMar>
        </w:tblPrEx>
        <w:trPr>
          <w:trHeight w:val="267" w:hRule="atLeast"/>
        </w:trPr>
        <w:tc>
          <w:tcPr>
            <w:tcW w:w="843" w:type="dxa"/>
            <w:vMerge w:val="restart"/>
            <w:tcBorders>
              <w:top w:val="single" w:color="auto" w:sz="8" w:space="0"/>
              <w:left w:val="single" w:color="auto" w:sz="8" w:space="0"/>
              <w:right w:val="single" w:color="000000" w:sz="8" w:space="0"/>
            </w:tcBorders>
            <w:shd w:val="clear" w:color="auto" w:fill="auto"/>
            <w:vAlign w:val="center"/>
          </w:tcPr>
          <w:p>
            <w:pPr>
              <w:jc w:val="center"/>
              <w:rPr>
                <w:rFonts w:ascii="宋体" w:hAnsi="宋体" w:eastAsia="宋体" w:cs="宋体"/>
                <w:b w:val="0"/>
                <w:bCs/>
                <w:kern w:val="0"/>
                <w:sz w:val="20"/>
                <w:szCs w:val="20"/>
              </w:rPr>
            </w:pPr>
            <w:r>
              <w:rPr>
                <w:rFonts w:hint="eastAsia" w:ascii="宋体" w:hAnsi="宋体" w:eastAsia="宋体" w:cs="宋体"/>
                <w:kern w:val="0"/>
                <w:sz w:val="20"/>
                <w:szCs w:val="20"/>
              </w:rPr>
              <w:t>环境要求</w:t>
            </w:r>
          </w:p>
        </w:tc>
        <w:tc>
          <w:tcPr>
            <w:tcW w:w="1417" w:type="dxa"/>
            <w:vMerge w:val="restart"/>
            <w:tcBorders>
              <w:top w:val="single" w:color="auto" w:sz="8" w:space="0"/>
              <w:left w:val="single" w:color="auto" w:sz="8" w:space="0"/>
              <w:right w:val="single" w:color="000000" w:sz="8" w:space="0"/>
            </w:tcBorders>
            <w:shd w:val="clear" w:color="auto" w:fill="auto"/>
            <w:vAlign w:val="center"/>
          </w:tcPr>
          <w:p>
            <w:pPr>
              <w:widowControl/>
              <w:jc w:val="center"/>
              <w:rPr>
                <w:rFonts w:ascii="宋体" w:hAnsi="宋体" w:eastAsia="宋体" w:cs="宋体"/>
                <w:b w:val="0"/>
                <w:bCs/>
                <w:kern w:val="0"/>
                <w:sz w:val="20"/>
                <w:szCs w:val="20"/>
              </w:rPr>
            </w:pPr>
            <w:r>
              <w:rPr>
                <w:rFonts w:hint="eastAsia" w:ascii="宋体" w:hAnsi="宋体" w:eastAsia="宋体" w:cs="宋体"/>
                <w:kern w:val="0"/>
                <w:sz w:val="20"/>
                <w:szCs w:val="20"/>
              </w:rPr>
              <w:t>控制中心安装环境要求</w:t>
            </w:r>
          </w:p>
        </w:tc>
        <w:tc>
          <w:tcPr>
            <w:tcW w:w="7088"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b w:val="0"/>
                <w:bCs/>
                <w:kern w:val="0"/>
                <w:sz w:val="20"/>
                <w:szCs w:val="20"/>
              </w:rPr>
            </w:pPr>
            <w:r>
              <w:rPr>
                <w:rFonts w:hint="eastAsia" w:ascii="宋体" w:hAnsi="宋体" w:eastAsia="宋体" w:cs="宋体"/>
                <w:kern w:val="0"/>
                <w:sz w:val="20"/>
                <w:szCs w:val="20"/>
              </w:rPr>
              <w:t>硬件环境：CPU至少4核以上；内存不低于4GB；硬盘不低于500GB，建议1T以上（需要下载补丁文件存放）</w:t>
            </w:r>
          </w:p>
        </w:tc>
      </w:tr>
      <w:tr>
        <w:tblPrEx>
          <w:tblCellMar>
            <w:top w:w="0" w:type="dxa"/>
            <w:left w:w="108" w:type="dxa"/>
            <w:bottom w:w="0" w:type="dxa"/>
            <w:right w:w="108" w:type="dxa"/>
          </w:tblCellMar>
        </w:tblPrEx>
        <w:trPr>
          <w:trHeight w:val="267" w:hRule="atLeast"/>
        </w:trPr>
        <w:tc>
          <w:tcPr>
            <w:tcW w:w="843" w:type="dxa"/>
            <w:vMerge w:val="continue"/>
            <w:tcBorders>
              <w:left w:val="single" w:color="auto" w:sz="8" w:space="0"/>
              <w:right w:val="single" w:color="000000" w:sz="8" w:space="0"/>
            </w:tcBorders>
            <w:shd w:val="clear" w:color="auto" w:fill="auto"/>
            <w:vAlign w:val="center"/>
          </w:tcPr>
          <w:p>
            <w:pPr>
              <w:jc w:val="center"/>
              <w:rPr>
                <w:rFonts w:ascii="宋体" w:hAnsi="宋体" w:eastAsia="宋体" w:cs="宋体"/>
                <w:b w:val="0"/>
                <w:bCs/>
                <w:kern w:val="0"/>
                <w:sz w:val="20"/>
                <w:szCs w:val="20"/>
              </w:rPr>
            </w:pPr>
          </w:p>
        </w:tc>
        <w:tc>
          <w:tcPr>
            <w:tcW w:w="1417" w:type="dxa"/>
            <w:vMerge w:val="continue"/>
            <w:tcBorders>
              <w:left w:val="single" w:color="auto" w:sz="8" w:space="0"/>
              <w:right w:val="single" w:color="000000" w:sz="8" w:space="0"/>
            </w:tcBorders>
            <w:shd w:val="clear" w:color="auto" w:fill="auto"/>
            <w:vAlign w:val="center"/>
          </w:tcPr>
          <w:p>
            <w:pPr>
              <w:widowControl/>
              <w:jc w:val="center"/>
              <w:rPr>
                <w:rFonts w:ascii="宋体" w:hAnsi="宋体" w:eastAsia="宋体" w:cs="宋体"/>
                <w:b w:val="0"/>
                <w:bCs/>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b w:val="0"/>
                <w:bCs/>
                <w:kern w:val="0"/>
                <w:sz w:val="20"/>
                <w:szCs w:val="20"/>
              </w:rPr>
            </w:pPr>
            <w:r>
              <w:rPr>
                <w:rFonts w:hint="eastAsia" w:ascii="宋体" w:hAnsi="宋体" w:eastAsia="宋体" w:cs="宋体"/>
                <w:kern w:val="0"/>
                <w:sz w:val="20"/>
                <w:szCs w:val="20"/>
              </w:rPr>
              <w:t>操作系统支持Windows Server 2008 R2/2012/2012 R2/2016的64位版本（简体中文版）；</w:t>
            </w:r>
          </w:p>
        </w:tc>
      </w:tr>
      <w:tr>
        <w:tblPrEx>
          <w:tblCellMar>
            <w:top w:w="0" w:type="dxa"/>
            <w:left w:w="108" w:type="dxa"/>
            <w:bottom w:w="0" w:type="dxa"/>
            <w:right w:w="108" w:type="dxa"/>
          </w:tblCellMar>
        </w:tblPrEx>
        <w:trPr>
          <w:trHeight w:val="267" w:hRule="atLeast"/>
        </w:trPr>
        <w:tc>
          <w:tcPr>
            <w:tcW w:w="843" w:type="dxa"/>
            <w:vMerge w:val="continue"/>
            <w:tcBorders>
              <w:left w:val="single" w:color="auto" w:sz="8" w:space="0"/>
              <w:right w:val="single" w:color="000000" w:sz="8" w:space="0"/>
            </w:tcBorders>
            <w:shd w:val="clear" w:color="auto" w:fill="auto"/>
            <w:vAlign w:val="center"/>
          </w:tcPr>
          <w:p>
            <w:pPr>
              <w:jc w:val="center"/>
              <w:rPr>
                <w:rFonts w:ascii="宋体" w:hAnsi="宋体" w:eastAsia="宋体" w:cs="宋体"/>
                <w:b w:val="0"/>
                <w:bCs/>
                <w:kern w:val="0"/>
                <w:sz w:val="20"/>
                <w:szCs w:val="20"/>
              </w:rPr>
            </w:pPr>
          </w:p>
        </w:tc>
        <w:tc>
          <w:tcPr>
            <w:tcW w:w="1417" w:type="dxa"/>
            <w:vMerge w:val="continue"/>
            <w:tcBorders>
              <w:left w:val="single" w:color="auto" w:sz="8" w:space="0"/>
              <w:bottom w:val="single" w:color="auto" w:sz="8" w:space="0"/>
              <w:right w:val="single" w:color="000000" w:sz="8" w:space="0"/>
            </w:tcBorders>
            <w:shd w:val="clear" w:color="auto" w:fill="auto"/>
            <w:vAlign w:val="center"/>
          </w:tcPr>
          <w:p>
            <w:pPr>
              <w:widowControl/>
              <w:jc w:val="center"/>
              <w:rPr>
                <w:rFonts w:ascii="宋体" w:hAnsi="宋体" w:eastAsia="宋体" w:cs="宋体"/>
                <w:b w:val="0"/>
                <w:bCs/>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jc w:val="center"/>
              <w:rPr>
                <w:rFonts w:ascii="宋体" w:hAnsi="宋体" w:eastAsia="宋体" w:cs="宋体"/>
                <w:b w:val="0"/>
                <w:bCs/>
                <w:kern w:val="0"/>
                <w:sz w:val="20"/>
                <w:szCs w:val="20"/>
              </w:rPr>
            </w:pPr>
            <w:r>
              <w:rPr>
                <w:rFonts w:hint="eastAsia" w:ascii="宋体" w:hAnsi="宋体" w:eastAsia="宋体" w:cs="宋体"/>
                <w:kern w:val="0"/>
                <w:sz w:val="20"/>
                <w:szCs w:val="20"/>
              </w:rPr>
              <w:t>支持在虚拟机上安装控制中心</w:t>
            </w:r>
          </w:p>
        </w:tc>
      </w:tr>
      <w:tr>
        <w:tblPrEx>
          <w:tblCellMar>
            <w:top w:w="0" w:type="dxa"/>
            <w:left w:w="108" w:type="dxa"/>
            <w:bottom w:w="0" w:type="dxa"/>
            <w:right w:w="108" w:type="dxa"/>
          </w:tblCellMar>
        </w:tblPrEx>
        <w:trPr>
          <w:trHeight w:val="1047" w:hRule="atLeast"/>
        </w:trPr>
        <w:tc>
          <w:tcPr>
            <w:tcW w:w="843" w:type="dxa"/>
            <w:vMerge w:val="continue"/>
            <w:tcBorders>
              <w:left w:val="single" w:color="auto" w:sz="8" w:space="0"/>
              <w:right w:val="single" w:color="000000" w:sz="8" w:space="0"/>
            </w:tcBorders>
            <w:shd w:val="clear" w:color="auto" w:fill="auto"/>
            <w:vAlign w:val="center"/>
          </w:tcPr>
          <w:p>
            <w:pPr>
              <w:widowControl/>
              <w:jc w:val="center"/>
              <w:rPr>
                <w:rFonts w:ascii="宋体" w:hAnsi="宋体" w:eastAsia="宋体" w:cs="宋体"/>
                <w:kern w:val="0"/>
                <w:sz w:val="20"/>
                <w:szCs w:val="20"/>
              </w:rPr>
            </w:pPr>
          </w:p>
        </w:tc>
        <w:tc>
          <w:tcPr>
            <w:tcW w:w="1417" w:type="dxa"/>
            <w:tcBorders>
              <w:top w:val="nil"/>
              <w:left w:val="single" w:color="000000" w:sz="8"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cs="宋体"/>
                <w:kern w:val="0"/>
                <w:szCs w:val="21"/>
              </w:rPr>
              <w:t>客户端及服务器端授权要求</w:t>
            </w: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cs="宋体"/>
                <w:kern w:val="0"/>
                <w:szCs w:val="21"/>
              </w:rPr>
              <w:t>本次授权1000个Windows PC客户端功能授权,</w:t>
            </w:r>
            <w:r>
              <w:rPr>
                <w:rFonts w:ascii="宋体" w:hAnsi="宋体" w:cs="宋体"/>
                <w:kern w:val="0"/>
                <w:szCs w:val="21"/>
              </w:rPr>
              <w:t xml:space="preserve"> </w:t>
            </w:r>
            <w:r>
              <w:rPr>
                <w:rFonts w:hint="eastAsia" w:ascii="宋体" w:hAnsi="宋体" w:cs="宋体"/>
                <w:kern w:val="0"/>
                <w:szCs w:val="21"/>
              </w:rPr>
              <w:t>150个windows server授权，含3年升级许可。</w:t>
            </w:r>
          </w:p>
        </w:tc>
      </w:tr>
      <w:tr>
        <w:tblPrEx>
          <w:tblCellMar>
            <w:top w:w="0" w:type="dxa"/>
            <w:left w:w="108" w:type="dxa"/>
            <w:bottom w:w="0" w:type="dxa"/>
            <w:right w:w="108" w:type="dxa"/>
          </w:tblCellMar>
        </w:tblPrEx>
        <w:trPr>
          <w:trHeight w:val="480" w:hRule="atLeast"/>
        </w:trPr>
        <w:tc>
          <w:tcPr>
            <w:tcW w:w="843" w:type="dxa"/>
            <w:vMerge w:val="continue"/>
            <w:tcBorders>
              <w:left w:val="single" w:color="auto" w:sz="8" w:space="0"/>
              <w:right w:val="single" w:color="000000" w:sz="8" w:space="0"/>
            </w:tcBorders>
            <w:vAlign w:val="center"/>
          </w:tcPr>
          <w:p>
            <w:pPr>
              <w:widowControl/>
              <w:jc w:val="left"/>
              <w:rPr>
                <w:rFonts w:ascii="宋体" w:hAnsi="宋体" w:eastAsia="宋体" w:cs="宋体"/>
                <w:kern w:val="0"/>
                <w:sz w:val="20"/>
                <w:szCs w:val="20"/>
              </w:rPr>
            </w:pPr>
          </w:p>
        </w:tc>
        <w:tc>
          <w:tcPr>
            <w:tcW w:w="1417" w:type="dxa"/>
            <w:tcBorders>
              <w:top w:val="nil"/>
              <w:left w:val="single" w:color="000000" w:sz="8"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Windows客户端安装环境要求</w:t>
            </w: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操作系统：Windows XP_SP3及以上/Windows Vista/Windows 7/Windows 8/Windows 10</w:t>
            </w:r>
          </w:p>
        </w:tc>
      </w:tr>
      <w:tr>
        <w:tblPrEx>
          <w:tblCellMar>
            <w:top w:w="0" w:type="dxa"/>
            <w:left w:w="108" w:type="dxa"/>
            <w:bottom w:w="0" w:type="dxa"/>
            <w:right w:w="108" w:type="dxa"/>
          </w:tblCellMar>
        </w:tblPrEx>
        <w:trPr>
          <w:trHeight w:val="906" w:hRule="atLeast"/>
        </w:trPr>
        <w:tc>
          <w:tcPr>
            <w:tcW w:w="843" w:type="dxa"/>
            <w:vMerge w:val="continue"/>
            <w:tcBorders>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1417" w:type="dxa"/>
            <w:tcBorders>
              <w:top w:val="nil"/>
              <w:left w:val="single" w:color="000000" w:sz="8" w:space="0"/>
              <w:right w:val="single" w:color="auto" w:sz="8" w:space="0"/>
            </w:tcBorders>
            <w:shd w:val="clear" w:color="auto" w:fill="auto"/>
            <w:vAlign w:val="center"/>
          </w:tcPr>
          <w:p>
            <w:pPr>
              <w:jc w:val="left"/>
              <w:rPr>
                <w:rFonts w:ascii="宋体" w:hAnsi="宋体" w:eastAsia="宋体" w:cs="宋体"/>
                <w:kern w:val="0"/>
                <w:sz w:val="20"/>
                <w:szCs w:val="20"/>
                <w:highlight w:val="yellow"/>
              </w:rPr>
            </w:pPr>
            <w:r>
              <w:rPr>
                <w:rFonts w:hint="eastAsia" w:ascii="宋体" w:hAnsi="宋体" w:eastAsia="宋体" w:cs="宋体"/>
                <w:kern w:val="0"/>
                <w:sz w:val="20"/>
                <w:szCs w:val="20"/>
              </w:rPr>
              <w:t>服务器客户端安装环境要求</w:t>
            </w:r>
          </w:p>
        </w:tc>
        <w:tc>
          <w:tcPr>
            <w:tcW w:w="7088" w:type="dxa"/>
            <w:tcBorders>
              <w:top w:val="nil"/>
              <w:left w:val="nil"/>
              <w:bottom w:val="single" w:color="auto" w:sz="4" w:space="0"/>
              <w:right w:val="single" w:color="auto" w:sz="8" w:space="0"/>
            </w:tcBorders>
            <w:shd w:val="clear" w:color="auto" w:fill="auto"/>
            <w:vAlign w:val="center"/>
          </w:tcPr>
          <w:p>
            <w:pPr>
              <w:jc w:val="left"/>
              <w:rPr>
                <w:rFonts w:ascii="宋体" w:hAnsi="宋体" w:eastAsia="宋体" w:cs="宋体"/>
                <w:kern w:val="0"/>
                <w:sz w:val="20"/>
                <w:szCs w:val="20"/>
                <w:highlight w:val="yellow"/>
              </w:rPr>
            </w:pPr>
            <w:r>
              <w:rPr>
                <w:rFonts w:hint="eastAsia" w:ascii="宋体" w:hAnsi="宋体" w:eastAsia="宋体" w:cs="宋体"/>
                <w:kern w:val="0"/>
                <w:sz w:val="20"/>
                <w:szCs w:val="20"/>
              </w:rPr>
              <w:t>操作系统:Windows Server 2003_SP2/Windows Server 2008/Windows Server 2012/Windows Server 2016</w:t>
            </w:r>
          </w:p>
        </w:tc>
      </w:tr>
      <w:tr>
        <w:tblPrEx>
          <w:tblCellMar>
            <w:top w:w="0" w:type="dxa"/>
            <w:left w:w="108" w:type="dxa"/>
            <w:bottom w:w="0" w:type="dxa"/>
            <w:right w:w="108" w:type="dxa"/>
          </w:tblCellMar>
        </w:tblPrEx>
        <w:trPr>
          <w:trHeight w:val="1108" w:hRule="atLeast"/>
        </w:trPr>
        <w:tc>
          <w:tcPr>
            <w:tcW w:w="2260" w:type="dxa"/>
            <w:gridSpan w:val="2"/>
            <w:vMerge w:val="restart"/>
            <w:tcBorders>
              <w:top w:val="single" w:color="auto" w:sz="8" w:space="0"/>
              <w:left w:val="single" w:color="auto" w:sz="8"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系统管理</w:t>
            </w: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控制中心：采用B/S架构管理端，具备设备分组管理、策略制定下发、全网健康状况监测、统一杀毒、统一漏洞修复、统一管控、统一终端准入合规、终端软件管理、硬件资产管理以及各种报表和查询等功能；</w:t>
            </w:r>
          </w:p>
        </w:tc>
      </w:tr>
      <w:tr>
        <w:tblPrEx>
          <w:tblCellMar>
            <w:top w:w="0" w:type="dxa"/>
            <w:left w:w="108" w:type="dxa"/>
            <w:bottom w:w="0" w:type="dxa"/>
            <w:right w:w="108" w:type="dxa"/>
          </w:tblCellMar>
        </w:tblPrEx>
        <w:trPr>
          <w:trHeight w:val="540" w:hRule="atLeast"/>
        </w:trPr>
        <w:tc>
          <w:tcPr>
            <w:tcW w:w="2260" w:type="dxa"/>
            <w:gridSpan w:val="2"/>
            <w:vMerge w:val="continue"/>
            <w:tcBorders>
              <w:left w:val="single" w:color="auto" w:sz="8"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nil"/>
              <w:left w:val="single" w:color="auto" w:sz="4" w:space="0"/>
              <w:bottom w:val="single" w:color="auto" w:sz="4" w:space="0"/>
              <w:right w:val="single" w:color="auto" w:sz="8"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支持网页访问部署、离线安装包部署、域推送等部署方式，可自定义部署通知邮件及部署通知公告；</w:t>
            </w:r>
          </w:p>
        </w:tc>
      </w:tr>
      <w:tr>
        <w:tblPrEx>
          <w:tblCellMar>
            <w:top w:w="0" w:type="dxa"/>
            <w:left w:w="108" w:type="dxa"/>
            <w:bottom w:w="0" w:type="dxa"/>
            <w:right w:w="108" w:type="dxa"/>
          </w:tblCellMar>
        </w:tblPrEx>
        <w:trPr>
          <w:trHeight w:val="345" w:hRule="atLeast"/>
        </w:trPr>
        <w:tc>
          <w:tcPr>
            <w:tcW w:w="2260" w:type="dxa"/>
            <w:gridSpan w:val="2"/>
            <w:vMerge w:val="continue"/>
            <w:tcBorders>
              <w:left w:val="single" w:color="auto" w:sz="8"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nil"/>
              <w:left w:val="single" w:color="auto" w:sz="4" w:space="0"/>
              <w:bottom w:val="single" w:color="auto" w:sz="4" w:space="0"/>
              <w:right w:val="single" w:color="auto" w:sz="8"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支持自定义默认分组的终端默认功能模块,包括产品功能模块及实用工具等；</w:t>
            </w:r>
          </w:p>
        </w:tc>
      </w:tr>
      <w:tr>
        <w:tblPrEx>
          <w:tblCellMar>
            <w:top w:w="0" w:type="dxa"/>
            <w:left w:w="108" w:type="dxa"/>
            <w:bottom w:w="0" w:type="dxa"/>
            <w:right w:w="108" w:type="dxa"/>
          </w:tblCellMar>
        </w:tblPrEx>
        <w:trPr>
          <w:trHeight w:val="720" w:hRule="atLeast"/>
        </w:trPr>
        <w:tc>
          <w:tcPr>
            <w:tcW w:w="2260" w:type="dxa"/>
            <w:gridSpan w:val="2"/>
            <w:vMerge w:val="continue"/>
            <w:tcBorders>
              <w:left w:val="single" w:color="auto" w:sz="8"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nil"/>
              <w:left w:val="single" w:color="auto" w:sz="4" w:space="0"/>
              <w:bottom w:val="nil"/>
              <w:right w:val="single" w:color="auto" w:sz="8"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支持控制中心防暴力破解，采用手机APP动态令牌方式进行二次认证，针对控制中心高危操作支持动态口令验证，要求令牌APP自主研发；</w:t>
            </w:r>
            <w:r>
              <w:rPr>
                <w:rFonts w:ascii="宋体" w:hAnsi="宋体" w:eastAsia="宋体" w:cs="宋体"/>
                <w:kern w:val="0"/>
                <w:sz w:val="20"/>
                <w:szCs w:val="20"/>
              </w:rPr>
              <w:t xml:space="preserve"> </w:t>
            </w:r>
          </w:p>
        </w:tc>
      </w:tr>
      <w:tr>
        <w:tblPrEx>
          <w:tblCellMar>
            <w:top w:w="0" w:type="dxa"/>
            <w:left w:w="108" w:type="dxa"/>
            <w:bottom w:w="0" w:type="dxa"/>
            <w:right w:w="108" w:type="dxa"/>
          </w:tblCellMar>
        </w:tblPrEx>
        <w:trPr>
          <w:trHeight w:val="270" w:hRule="atLeast"/>
        </w:trPr>
        <w:tc>
          <w:tcPr>
            <w:tcW w:w="2260" w:type="dxa"/>
            <w:gridSpan w:val="2"/>
            <w:vMerge w:val="continue"/>
            <w:tcBorders>
              <w:left w:val="single" w:color="auto" w:sz="8"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single" w:color="auto" w:sz="4" w:space="0"/>
              <w:bottom w:val="nil"/>
              <w:right w:val="single" w:color="auto" w:sz="8"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支持加密的控制中心远程访问，支持管理账户并发、密码有效期、鉴别失败锁定等设置；</w:t>
            </w:r>
          </w:p>
        </w:tc>
      </w:tr>
      <w:tr>
        <w:tblPrEx>
          <w:tblCellMar>
            <w:top w:w="0" w:type="dxa"/>
            <w:left w:w="108" w:type="dxa"/>
            <w:bottom w:w="0" w:type="dxa"/>
            <w:right w:w="108" w:type="dxa"/>
          </w:tblCellMar>
        </w:tblPrEx>
        <w:trPr>
          <w:trHeight w:val="270" w:hRule="atLeast"/>
        </w:trPr>
        <w:tc>
          <w:tcPr>
            <w:tcW w:w="2260" w:type="dxa"/>
            <w:gridSpan w:val="2"/>
            <w:vMerge w:val="continue"/>
            <w:tcBorders>
              <w:left w:val="single" w:color="auto" w:sz="8"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single" w:color="auto" w:sz="4" w:space="0"/>
              <w:bottom w:val="nil"/>
              <w:right w:val="single" w:color="auto" w:sz="8"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支持设置日志上报的带宽限制；</w:t>
            </w:r>
          </w:p>
        </w:tc>
      </w:tr>
      <w:tr>
        <w:tblPrEx>
          <w:tblCellMar>
            <w:top w:w="0" w:type="dxa"/>
            <w:left w:w="108" w:type="dxa"/>
            <w:bottom w:w="0" w:type="dxa"/>
            <w:right w:w="108" w:type="dxa"/>
          </w:tblCellMar>
        </w:tblPrEx>
        <w:trPr>
          <w:trHeight w:val="480" w:hRule="atLeast"/>
        </w:trPr>
        <w:tc>
          <w:tcPr>
            <w:tcW w:w="2260" w:type="dxa"/>
            <w:gridSpan w:val="2"/>
            <w:vMerge w:val="continue"/>
            <w:tcBorders>
              <w:left w:val="single" w:color="auto" w:sz="8"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single" w:color="auto" w:sz="4" w:space="0"/>
              <w:bottom w:val="nil"/>
              <w:right w:val="single" w:color="auto" w:sz="8"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支持根据分组、计算机名称、IP地址、操作系统、在线状态等条件的组合筛选出符合条件的终端进行管理；</w:t>
            </w:r>
          </w:p>
        </w:tc>
      </w:tr>
      <w:tr>
        <w:tblPrEx>
          <w:tblCellMar>
            <w:top w:w="0" w:type="dxa"/>
            <w:left w:w="108" w:type="dxa"/>
            <w:bottom w:w="0" w:type="dxa"/>
            <w:right w:w="108" w:type="dxa"/>
          </w:tblCellMar>
        </w:tblPrEx>
        <w:trPr>
          <w:trHeight w:val="180" w:hRule="atLeast"/>
        </w:trPr>
        <w:tc>
          <w:tcPr>
            <w:tcW w:w="2260" w:type="dxa"/>
            <w:gridSpan w:val="2"/>
            <w:vMerge w:val="continue"/>
            <w:tcBorders>
              <w:left w:val="single" w:color="auto" w:sz="8"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single" w:color="auto" w:sz="4" w:space="0"/>
              <w:bottom w:val="single" w:color="auto" w:sz="8"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支持控制中心迁移、数据备份、数据恢复；支持多升级服务器；</w:t>
            </w:r>
          </w:p>
        </w:tc>
      </w:tr>
      <w:tr>
        <w:tblPrEx>
          <w:tblCellMar>
            <w:top w:w="0" w:type="dxa"/>
            <w:left w:w="108" w:type="dxa"/>
            <w:bottom w:w="0" w:type="dxa"/>
            <w:right w:w="108" w:type="dxa"/>
          </w:tblCellMar>
        </w:tblPrEx>
        <w:trPr>
          <w:trHeight w:val="180" w:hRule="atLeast"/>
        </w:trPr>
        <w:tc>
          <w:tcPr>
            <w:tcW w:w="2260" w:type="dxa"/>
            <w:gridSpan w:val="2"/>
            <w:vMerge w:val="continue"/>
            <w:tcBorders>
              <w:left w:val="single" w:color="auto" w:sz="8" w:space="0"/>
              <w:bottom w:val="single" w:color="000000" w:sz="8"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single" w:color="auto" w:sz="4" w:space="0"/>
              <w:bottom w:val="single" w:color="auto" w:sz="8"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需与当前的终端管理系统同兼容，可基于现有的控制中心进行统一管控，提供原厂盖公章的统一管理兼容性证明</w:t>
            </w:r>
          </w:p>
        </w:tc>
      </w:tr>
      <w:tr>
        <w:tblPrEx>
          <w:tblCellMar>
            <w:top w:w="0" w:type="dxa"/>
            <w:left w:w="108" w:type="dxa"/>
            <w:bottom w:w="0" w:type="dxa"/>
            <w:right w:w="108" w:type="dxa"/>
          </w:tblCellMar>
        </w:tblPrEx>
        <w:trPr>
          <w:trHeight w:val="270" w:hRule="atLeast"/>
        </w:trPr>
        <w:tc>
          <w:tcPr>
            <w:tcW w:w="2260" w:type="dxa"/>
            <w:gridSpan w:val="2"/>
            <w:vMerge w:val="restart"/>
            <w:tcBorders>
              <w:top w:val="single" w:color="auto" w:sz="8" w:space="0"/>
              <w:left w:val="single" w:color="auto" w:sz="8" w:space="0"/>
              <w:bottom w:val="single" w:color="000000" w:sz="8" w:space="0"/>
              <w:right w:val="single" w:color="000000" w:sz="8"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资产管理</w:t>
            </w: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按终端维度展示终端的硬件、软件、操作系统、网络、进程等信息；</w:t>
            </w:r>
          </w:p>
        </w:tc>
      </w:tr>
      <w:tr>
        <w:tblPrEx>
          <w:tblCellMar>
            <w:top w:w="0" w:type="dxa"/>
            <w:left w:w="108" w:type="dxa"/>
            <w:bottom w:w="0" w:type="dxa"/>
            <w:right w:w="108" w:type="dxa"/>
          </w:tblCellMar>
        </w:tblPrEx>
        <w:trPr>
          <w:trHeight w:val="270" w:hRule="atLeast"/>
        </w:trPr>
        <w:tc>
          <w:tcPr>
            <w:tcW w:w="2260" w:type="dxa"/>
            <w:gridSpan w:val="2"/>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支持硬盘序列号收集、支持SN号收集</w:t>
            </w:r>
          </w:p>
        </w:tc>
      </w:tr>
      <w:tr>
        <w:tblPrEx>
          <w:tblCellMar>
            <w:top w:w="0" w:type="dxa"/>
            <w:left w:w="108" w:type="dxa"/>
            <w:bottom w:w="0" w:type="dxa"/>
            <w:right w:w="108" w:type="dxa"/>
          </w:tblCellMar>
        </w:tblPrEx>
        <w:trPr>
          <w:trHeight w:val="582" w:hRule="atLeast"/>
        </w:trPr>
        <w:tc>
          <w:tcPr>
            <w:tcW w:w="2260" w:type="dxa"/>
            <w:gridSpan w:val="2"/>
            <w:vMerge w:val="continue"/>
            <w:tcBorders>
              <w:top w:val="single" w:color="auto" w:sz="8" w:space="0"/>
              <w:left w:val="single" w:color="auto" w:sz="8" w:space="0"/>
              <w:bottom w:val="single" w:color="000000" w:sz="8"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支持温度检测以折线图形式实时展示CPU、主板、显卡、硬盘的温度变化（提供产品界面截图并加盖厂商公章）</w:t>
            </w:r>
          </w:p>
        </w:tc>
      </w:tr>
      <w:tr>
        <w:tblPrEx>
          <w:tblCellMar>
            <w:top w:w="0" w:type="dxa"/>
            <w:left w:w="108" w:type="dxa"/>
            <w:bottom w:w="0" w:type="dxa"/>
            <w:right w:w="108" w:type="dxa"/>
          </w:tblCellMar>
        </w:tblPrEx>
        <w:trPr>
          <w:trHeight w:val="480" w:hRule="atLeast"/>
        </w:trPr>
        <w:tc>
          <w:tcPr>
            <w:tcW w:w="2260" w:type="dxa"/>
            <w:gridSpan w:val="2"/>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支持插件清理，按插件显示展示全网存在的插件和涉及的终端，可清理指定或全部插件、加入信任；按终端显示展示全网每个终端存在的插件，可清理插件</w:t>
            </w:r>
          </w:p>
        </w:tc>
      </w:tr>
      <w:tr>
        <w:tblPrEx>
          <w:tblCellMar>
            <w:top w:w="0" w:type="dxa"/>
            <w:left w:w="108" w:type="dxa"/>
            <w:bottom w:w="0" w:type="dxa"/>
            <w:right w:w="108" w:type="dxa"/>
          </w:tblCellMar>
        </w:tblPrEx>
        <w:trPr>
          <w:trHeight w:val="270" w:hRule="atLeast"/>
        </w:trPr>
        <w:tc>
          <w:tcPr>
            <w:tcW w:w="2260" w:type="dxa"/>
            <w:gridSpan w:val="2"/>
            <w:vMerge w:val="continue"/>
            <w:tcBorders>
              <w:top w:val="single" w:color="auto" w:sz="8" w:space="0"/>
              <w:left w:val="single" w:color="auto" w:sz="8" w:space="0"/>
              <w:bottom w:val="single" w:color="000000" w:sz="8" w:space="0"/>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支持正版软件的正版序列号的读取功能，确保软件正版化。（提供产品界面截图并加盖厂商公章）</w:t>
            </w:r>
          </w:p>
        </w:tc>
      </w:tr>
      <w:tr>
        <w:tblPrEx>
          <w:tblCellMar>
            <w:top w:w="0" w:type="dxa"/>
            <w:left w:w="108" w:type="dxa"/>
            <w:bottom w:w="0" w:type="dxa"/>
            <w:right w:w="108" w:type="dxa"/>
          </w:tblCellMar>
        </w:tblPrEx>
        <w:trPr>
          <w:trHeight w:val="357" w:hRule="atLeast"/>
        </w:trPr>
        <w:tc>
          <w:tcPr>
            <w:tcW w:w="2260" w:type="dxa"/>
            <w:gridSpan w:val="2"/>
            <w:vMerge w:val="continue"/>
            <w:tcBorders>
              <w:top w:val="single" w:color="auto" w:sz="8" w:space="0"/>
              <w:left w:val="single" w:color="auto" w:sz="8" w:space="0"/>
              <w:bottom w:val="single" w:color="auto" w:sz="4" w:space="0"/>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支持ldap联动，终端实名认证后自动同步资产信息</w:t>
            </w:r>
          </w:p>
        </w:tc>
      </w:tr>
      <w:tr>
        <w:tblPrEx>
          <w:tblCellMar>
            <w:top w:w="0" w:type="dxa"/>
            <w:left w:w="108" w:type="dxa"/>
            <w:bottom w:w="0" w:type="dxa"/>
            <w:right w:w="108" w:type="dxa"/>
          </w:tblCellMar>
        </w:tblPrEx>
        <w:trPr>
          <w:trHeight w:val="480" w:hRule="atLeast"/>
        </w:trPr>
        <w:tc>
          <w:tcPr>
            <w:tcW w:w="2260" w:type="dxa"/>
            <w:gridSpan w:val="2"/>
            <w:vMerge w:val="restart"/>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日志报表</w:t>
            </w: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展示全网终端健康状态、报警信息；可方便的查看不健康、亚健康终端列表；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展示全网终端病毒库日期比例，可方便的查看全网终端病毒库的情况</w:t>
            </w:r>
          </w:p>
        </w:tc>
      </w:tr>
      <w:tr>
        <w:tblPrEx>
          <w:tblCellMar>
            <w:top w:w="0" w:type="dxa"/>
            <w:left w:w="108" w:type="dxa"/>
            <w:bottom w:w="0" w:type="dxa"/>
            <w:right w:w="108" w:type="dxa"/>
          </w:tblCellMar>
        </w:tblPrEx>
        <w:trPr>
          <w:trHeight w:val="1226" w:hRule="atLeast"/>
        </w:trPr>
        <w:tc>
          <w:tcPr>
            <w:tcW w:w="22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kern w:val="0"/>
                <w:sz w:val="20"/>
                <w:szCs w:val="20"/>
              </w:rPr>
            </w:pPr>
            <w:r>
              <w:rPr>
                <w:rFonts w:hint="eastAsia" w:ascii="宋体" w:hAnsi="宋体" w:eastAsia="宋体" w:cs="宋体"/>
                <w:kern w:val="0"/>
                <w:sz w:val="20"/>
                <w:szCs w:val="20"/>
              </w:rPr>
              <w:t>要求支持邮件报警，可以设定多种触发条件，满足条件后自动发送邮件到相关人。邮件触发条件至少包括：一定时间内的病毒数量阈值、一定时间内的未知文件数量阈值、重点关注的终端发现病毒等；（提供产品界面截图并加盖厂商公章）</w:t>
            </w:r>
          </w:p>
        </w:tc>
      </w:tr>
      <w:tr>
        <w:tblPrEx>
          <w:tblCellMar>
            <w:top w:w="0" w:type="dxa"/>
            <w:left w:w="108" w:type="dxa"/>
            <w:bottom w:w="0" w:type="dxa"/>
            <w:right w:w="108" w:type="dxa"/>
          </w:tblCellMar>
        </w:tblPrEx>
        <w:trPr>
          <w:trHeight w:val="399" w:hRule="atLeast"/>
        </w:trPr>
        <w:tc>
          <w:tcPr>
            <w:tcW w:w="2260" w:type="dxa"/>
            <w:gridSpan w:val="2"/>
            <w:vMerge w:val="continue"/>
            <w:tcBorders>
              <w:top w:val="single" w:color="auto" w:sz="4" w:space="0"/>
              <w:left w:val="single" w:color="auto" w:sz="4" w:space="0"/>
              <w:bottom w:val="single" w:color="auto" w:sz="4"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提供系统升级、热备、管理员操作、管理员远程等系统日志；</w:t>
            </w:r>
          </w:p>
        </w:tc>
      </w:tr>
      <w:tr>
        <w:tblPrEx>
          <w:tblCellMar>
            <w:top w:w="0" w:type="dxa"/>
            <w:left w:w="108" w:type="dxa"/>
            <w:bottom w:w="0" w:type="dxa"/>
            <w:right w:w="108" w:type="dxa"/>
          </w:tblCellMar>
        </w:tblPrEx>
        <w:trPr>
          <w:trHeight w:val="1042" w:hRule="atLeast"/>
        </w:trPr>
        <w:tc>
          <w:tcPr>
            <w:tcW w:w="843" w:type="dxa"/>
            <w:vMerge w:val="restart"/>
            <w:tcBorders>
              <w:top w:val="single" w:color="auto" w:sz="4" w:space="0"/>
              <w:left w:val="single" w:color="auto" w:sz="8" w:space="0"/>
              <w:bottom w:val="single" w:color="000000" w:sz="8" w:space="0"/>
              <w:right w:val="single" w:color="auto" w:sz="8"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病毒、恶意代码、木马防护</w:t>
            </w:r>
          </w:p>
        </w:tc>
        <w:tc>
          <w:tcPr>
            <w:tcW w:w="1417" w:type="dxa"/>
            <w:tcBorders>
              <w:top w:val="single" w:color="auto" w:sz="4" w:space="0"/>
              <w:left w:val="nil"/>
              <w:right w:val="nil"/>
            </w:tcBorders>
            <w:shd w:val="clear" w:color="auto" w:fill="auto"/>
            <w:vAlign w:val="center"/>
          </w:tcPr>
          <w:p>
            <w:pPr>
              <w:jc w:val="left"/>
              <w:rPr>
                <w:rFonts w:ascii="宋体" w:hAnsi="宋体" w:eastAsia="宋体" w:cs="宋体"/>
                <w:kern w:val="0"/>
                <w:sz w:val="20"/>
                <w:szCs w:val="20"/>
              </w:rPr>
            </w:pPr>
            <w:r>
              <w:rPr>
                <w:rFonts w:hint="eastAsia" w:ascii="宋体" w:hAnsi="宋体" w:eastAsia="宋体" w:cs="宋体"/>
                <w:kern w:val="0"/>
                <w:sz w:val="20"/>
                <w:szCs w:val="20"/>
              </w:rPr>
              <w:t>实时防护</w:t>
            </w:r>
          </w:p>
        </w:tc>
        <w:tc>
          <w:tcPr>
            <w:tcW w:w="7088" w:type="dxa"/>
            <w:tcBorders>
              <w:top w:val="single" w:color="auto" w:sz="4" w:space="0"/>
              <w:left w:val="single" w:color="auto" w:sz="8" w:space="0"/>
              <w:right w:val="single" w:color="auto" w:sz="8" w:space="0"/>
            </w:tcBorders>
            <w:shd w:val="clear" w:color="auto" w:fill="auto"/>
            <w:vAlign w:val="center"/>
          </w:tcPr>
          <w:p>
            <w:pPr>
              <w:rPr>
                <w:rFonts w:ascii="宋体" w:hAnsi="宋体" w:eastAsia="宋体" w:cs="宋体"/>
                <w:kern w:val="0"/>
                <w:sz w:val="20"/>
                <w:szCs w:val="20"/>
              </w:rPr>
            </w:pPr>
            <w:r>
              <w:rPr>
                <w:rFonts w:hint="eastAsia" w:ascii="宋体" w:hAnsi="宋体" w:eastAsia="宋体" w:cs="宋体"/>
                <w:kern w:val="0"/>
                <w:sz w:val="20"/>
                <w:szCs w:val="20"/>
              </w:rPr>
              <w:t>文件系统实时防护，支持开机延迟加载，实时监控级别设置高中低三种配置，监控文件类型包含所有文件或者程序及文档。选择级别高监控所有文件对系统有一定影响，需要根据设备配置启用配置。</w:t>
            </w:r>
          </w:p>
        </w:tc>
      </w:tr>
      <w:tr>
        <w:tblPrEx>
          <w:tblCellMar>
            <w:top w:w="0" w:type="dxa"/>
            <w:left w:w="108" w:type="dxa"/>
            <w:bottom w:w="0" w:type="dxa"/>
            <w:right w:w="108" w:type="dxa"/>
          </w:tblCellMar>
        </w:tblPrEx>
        <w:trPr>
          <w:trHeight w:val="774" w:hRule="atLeast"/>
        </w:trPr>
        <w:tc>
          <w:tcPr>
            <w:tcW w:w="843" w:type="dxa"/>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kern w:val="0"/>
                <w:sz w:val="20"/>
                <w:szCs w:val="20"/>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0"/>
                <w:szCs w:val="20"/>
              </w:rPr>
            </w:pPr>
            <w:r>
              <w:rPr>
                <w:rFonts w:hint="eastAsia" w:ascii="宋体" w:hAnsi="宋体" w:eastAsia="宋体" w:cs="宋体"/>
                <w:kern w:val="0"/>
                <w:sz w:val="20"/>
                <w:szCs w:val="20"/>
              </w:rPr>
              <w:t>浏览器防护</w:t>
            </w: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jc w:val="left"/>
              <w:rPr>
                <w:rFonts w:ascii="宋体" w:hAnsi="宋体" w:eastAsia="宋体" w:cs="宋体"/>
                <w:kern w:val="0"/>
                <w:sz w:val="20"/>
                <w:szCs w:val="20"/>
              </w:rPr>
            </w:pPr>
            <w:r>
              <w:rPr>
                <w:rFonts w:hint="eastAsia" w:ascii="宋体" w:hAnsi="宋体" w:eastAsia="宋体" w:cs="宋体"/>
                <w:kern w:val="0"/>
                <w:sz w:val="20"/>
                <w:szCs w:val="20"/>
              </w:rPr>
              <w:t>支持浏览器防护，对篡改浏览器设置的恶意行为进行有效防御，并可以锁定默认浏览器设置（提供产品界面截图并加盖厂商公章）</w:t>
            </w:r>
          </w:p>
        </w:tc>
      </w:tr>
      <w:tr>
        <w:tblPrEx>
          <w:tblCellMar>
            <w:top w:w="0" w:type="dxa"/>
            <w:left w:w="108" w:type="dxa"/>
            <w:bottom w:w="0" w:type="dxa"/>
            <w:right w:w="108" w:type="dxa"/>
          </w:tblCellMar>
        </w:tblPrEx>
        <w:trPr>
          <w:trHeight w:val="480" w:hRule="atLeast"/>
        </w:trPr>
        <w:tc>
          <w:tcPr>
            <w:tcW w:w="84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kern w:val="0"/>
                <w:sz w:val="20"/>
                <w:szCs w:val="20"/>
              </w:rPr>
            </w:pPr>
          </w:p>
        </w:tc>
        <w:tc>
          <w:tcPr>
            <w:tcW w:w="1417" w:type="dxa"/>
            <w:tcBorders>
              <w:top w:val="single" w:color="auto" w:sz="4" w:space="0"/>
              <w:left w:val="nil"/>
              <w:bottom w:val="single" w:color="auto" w:sz="4" w:space="0"/>
              <w:right w:val="nil"/>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文件传输防护</w:t>
            </w:r>
          </w:p>
        </w:tc>
        <w:tc>
          <w:tcPr>
            <w:tcW w:w="7088" w:type="dxa"/>
            <w:tcBorders>
              <w:top w:val="single" w:color="auto" w:sz="4" w:space="0"/>
              <w:left w:val="single" w:color="auto" w:sz="8" w:space="0"/>
              <w:bottom w:val="single" w:color="auto" w:sz="4" w:space="0"/>
              <w:right w:val="single" w:color="auto" w:sz="8"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支持U盘等移动磁盘设备和电脑硬盘间文件传输检测；</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支持局域网共享文件传输检测；</w:t>
            </w:r>
          </w:p>
        </w:tc>
      </w:tr>
      <w:tr>
        <w:tblPrEx>
          <w:tblCellMar>
            <w:top w:w="0" w:type="dxa"/>
            <w:left w:w="108" w:type="dxa"/>
            <w:bottom w:w="0" w:type="dxa"/>
            <w:right w:w="108" w:type="dxa"/>
          </w:tblCellMar>
        </w:tblPrEx>
        <w:trPr>
          <w:trHeight w:val="480" w:hRule="atLeast"/>
        </w:trPr>
        <w:tc>
          <w:tcPr>
            <w:tcW w:w="84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kern w:val="0"/>
                <w:sz w:val="20"/>
                <w:szCs w:val="20"/>
              </w:rPr>
            </w:pPr>
          </w:p>
        </w:tc>
        <w:tc>
          <w:tcPr>
            <w:tcW w:w="1417"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攻击防护</w:t>
            </w:r>
          </w:p>
        </w:tc>
        <w:tc>
          <w:tcPr>
            <w:tcW w:w="7088" w:type="dxa"/>
            <w:tcBorders>
              <w:top w:val="nil"/>
              <w:left w:val="single" w:color="auto" w:sz="8" w:space="0"/>
              <w:bottom w:val="single" w:color="auto" w:sz="4" w:space="0"/>
              <w:right w:val="single" w:color="auto" w:sz="8"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能够实时检测和拦截攻击行为，包括改写系统关键文件、修改注册表关键键值、感染移动存储介质、创建系统账号</w:t>
            </w:r>
          </w:p>
        </w:tc>
      </w:tr>
      <w:tr>
        <w:tblPrEx>
          <w:tblCellMar>
            <w:top w:w="0" w:type="dxa"/>
            <w:left w:w="108" w:type="dxa"/>
            <w:bottom w:w="0" w:type="dxa"/>
            <w:right w:w="108" w:type="dxa"/>
          </w:tblCellMar>
        </w:tblPrEx>
        <w:trPr>
          <w:trHeight w:val="480" w:hRule="atLeast"/>
        </w:trPr>
        <w:tc>
          <w:tcPr>
            <w:tcW w:w="84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kern w:val="0"/>
                <w:sz w:val="20"/>
                <w:szCs w:val="20"/>
              </w:rPr>
            </w:pPr>
          </w:p>
        </w:tc>
        <w:tc>
          <w:tcPr>
            <w:tcW w:w="1417"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定时查杀</w:t>
            </w:r>
          </w:p>
        </w:tc>
        <w:tc>
          <w:tcPr>
            <w:tcW w:w="7088" w:type="dxa"/>
            <w:tcBorders>
              <w:top w:val="nil"/>
              <w:left w:val="single" w:color="auto" w:sz="8" w:space="0"/>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要求能够自定义时间、自定义扫描频率，自定义扫描类型，对终端进行定时查毒，并且可以自定义查杀病毒后的处理方式自定义；</w:t>
            </w:r>
          </w:p>
        </w:tc>
      </w:tr>
      <w:tr>
        <w:tblPrEx>
          <w:tblCellMar>
            <w:top w:w="0" w:type="dxa"/>
            <w:left w:w="108" w:type="dxa"/>
            <w:bottom w:w="0" w:type="dxa"/>
            <w:right w:w="108" w:type="dxa"/>
          </w:tblCellMar>
        </w:tblPrEx>
        <w:trPr>
          <w:trHeight w:val="1230" w:hRule="atLeast"/>
        </w:trPr>
        <w:tc>
          <w:tcPr>
            <w:tcW w:w="84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kern w:val="0"/>
                <w:sz w:val="20"/>
                <w:szCs w:val="20"/>
              </w:rPr>
            </w:pPr>
          </w:p>
        </w:tc>
        <w:tc>
          <w:tcPr>
            <w:tcW w:w="1417" w:type="dxa"/>
            <w:tcBorders>
              <w:top w:val="nil"/>
              <w:left w:val="nil"/>
              <w:bottom w:val="single" w:color="auto" w:sz="4" w:space="0"/>
              <w:right w:val="nil"/>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黑白名单例外</w:t>
            </w:r>
          </w:p>
        </w:tc>
        <w:tc>
          <w:tcPr>
            <w:tcW w:w="7088" w:type="dxa"/>
            <w:tcBorders>
              <w:top w:val="nil"/>
              <w:left w:val="single" w:color="auto" w:sz="8" w:space="0"/>
              <w:bottom w:val="single" w:color="auto" w:sz="4" w:space="0"/>
              <w:right w:val="single" w:color="auto" w:sz="8"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支持文件、目录和数字签名自定义黑白名单的方式来管理全网终端的文件；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 xml:space="preserve">支持手工导入MD5+SHA1的黑白名单方式，支持txt批量导入方式 </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支持下发忽略白名单的病毒扫描；</w:t>
            </w:r>
            <w:r>
              <w:rPr>
                <w:rFonts w:ascii="宋体" w:hAnsi="宋体" w:eastAsia="宋体" w:cs="宋体"/>
                <w:kern w:val="0"/>
                <w:sz w:val="20"/>
                <w:szCs w:val="20"/>
              </w:rPr>
              <w:t xml:space="preserve"> </w:t>
            </w:r>
          </w:p>
        </w:tc>
      </w:tr>
      <w:tr>
        <w:tblPrEx>
          <w:tblCellMar>
            <w:top w:w="0" w:type="dxa"/>
            <w:left w:w="108" w:type="dxa"/>
            <w:bottom w:w="0" w:type="dxa"/>
            <w:right w:w="108" w:type="dxa"/>
          </w:tblCellMar>
        </w:tblPrEx>
        <w:trPr>
          <w:trHeight w:val="417" w:hRule="atLeast"/>
        </w:trPr>
        <w:tc>
          <w:tcPr>
            <w:tcW w:w="84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kern w:val="0"/>
                <w:sz w:val="20"/>
                <w:szCs w:val="20"/>
              </w:rPr>
            </w:pPr>
          </w:p>
        </w:tc>
        <w:tc>
          <w:tcPr>
            <w:tcW w:w="1417" w:type="dxa"/>
            <w:vMerge w:val="restart"/>
            <w:tcBorders>
              <w:top w:val="nil"/>
              <w:left w:val="single" w:color="auto" w:sz="8"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病毒查杀统计</w:t>
            </w: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kern w:val="0"/>
                <w:sz w:val="20"/>
                <w:szCs w:val="20"/>
              </w:rPr>
            </w:pPr>
            <w:r>
              <w:rPr>
                <w:rFonts w:hint="eastAsia" w:ascii="宋体" w:hAnsi="宋体" w:eastAsia="宋体" w:cs="宋体"/>
                <w:kern w:val="0"/>
                <w:sz w:val="20"/>
                <w:szCs w:val="20"/>
              </w:rPr>
              <w:t>支持按病毒、木马、终端等维度统计全网病毒感染状况；</w:t>
            </w:r>
          </w:p>
        </w:tc>
      </w:tr>
      <w:tr>
        <w:tblPrEx>
          <w:tblCellMar>
            <w:top w:w="0" w:type="dxa"/>
            <w:left w:w="108" w:type="dxa"/>
            <w:bottom w:w="0" w:type="dxa"/>
            <w:right w:w="108" w:type="dxa"/>
          </w:tblCellMar>
        </w:tblPrEx>
        <w:trPr>
          <w:trHeight w:val="480" w:hRule="atLeast"/>
        </w:trPr>
        <w:tc>
          <w:tcPr>
            <w:tcW w:w="84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kern w:val="0"/>
                <w:sz w:val="20"/>
                <w:szCs w:val="20"/>
              </w:rPr>
            </w:pPr>
          </w:p>
        </w:tc>
        <w:tc>
          <w:tcPr>
            <w:tcW w:w="1417" w:type="dxa"/>
            <w:vMerge w:val="continue"/>
            <w:tcBorders>
              <w:top w:val="nil"/>
              <w:left w:val="single" w:color="auto" w:sz="8" w:space="0"/>
              <w:bottom w:val="single" w:color="auto" w:sz="4" w:space="0"/>
              <w:right w:val="nil"/>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single" w:color="auto" w:sz="8" w:space="0"/>
              <w:bottom w:val="single" w:color="auto" w:sz="4" w:space="0"/>
              <w:right w:val="single" w:color="auto" w:sz="8"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要求上报文件至少包括:文件名称、发现时间、鉴定结果、文件大小、数字签名和文件所属源计算机等信息</w:t>
            </w:r>
          </w:p>
        </w:tc>
      </w:tr>
      <w:tr>
        <w:tblPrEx>
          <w:tblCellMar>
            <w:top w:w="0" w:type="dxa"/>
            <w:left w:w="108" w:type="dxa"/>
            <w:bottom w:w="0" w:type="dxa"/>
            <w:right w:w="108" w:type="dxa"/>
          </w:tblCellMar>
        </w:tblPrEx>
        <w:trPr>
          <w:trHeight w:val="714" w:hRule="atLeast"/>
        </w:trPr>
        <w:tc>
          <w:tcPr>
            <w:tcW w:w="843" w:type="dxa"/>
            <w:vMerge w:val="continue"/>
            <w:tcBorders>
              <w:top w:val="nil"/>
              <w:left w:val="single" w:color="auto" w:sz="8" w:space="0"/>
              <w:bottom w:val="single" w:color="000000" w:sz="8" w:space="0"/>
              <w:right w:val="single" w:color="auto" w:sz="4" w:space="0"/>
            </w:tcBorders>
            <w:vAlign w:val="center"/>
          </w:tcPr>
          <w:p>
            <w:pPr>
              <w:widowControl/>
              <w:jc w:val="left"/>
              <w:rPr>
                <w:rFonts w:ascii="宋体" w:hAnsi="宋体" w:eastAsia="宋体" w:cs="宋体"/>
                <w:kern w:val="0"/>
                <w:sz w:val="20"/>
                <w:szCs w:val="20"/>
              </w:rPr>
            </w:pPr>
          </w:p>
        </w:tc>
        <w:tc>
          <w:tcPr>
            <w:tcW w:w="1417"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漏洞利用防御</w:t>
            </w: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要求能够支持XP系统的漏洞利用防御，尤其对通过文件漏洞的攻击行为进行有效检测与防御</w:t>
            </w:r>
          </w:p>
        </w:tc>
      </w:tr>
      <w:tr>
        <w:tblPrEx>
          <w:tblCellMar>
            <w:top w:w="0" w:type="dxa"/>
            <w:left w:w="108" w:type="dxa"/>
            <w:bottom w:w="0" w:type="dxa"/>
            <w:right w:w="108" w:type="dxa"/>
          </w:tblCellMar>
        </w:tblPrEx>
        <w:trPr>
          <w:trHeight w:val="939" w:hRule="atLeast"/>
        </w:trPr>
        <w:tc>
          <w:tcPr>
            <w:tcW w:w="843" w:type="dxa"/>
            <w:vMerge w:val="continue"/>
            <w:tcBorders>
              <w:top w:val="nil"/>
              <w:left w:val="single" w:color="auto" w:sz="8" w:space="0"/>
              <w:bottom w:val="single" w:color="000000" w:sz="8" w:space="0"/>
              <w:right w:val="single" w:color="auto" w:sz="8" w:space="0"/>
            </w:tcBorders>
            <w:vAlign w:val="center"/>
          </w:tcPr>
          <w:p>
            <w:pPr>
              <w:widowControl/>
              <w:jc w:val="left"/>
              <w:rPr>
                <w:rFonts w:ascii="宋体" w:hAnsi="宋体" w:eastAsia="宋体" w:cs="宋体"/>
                <w:kern w:val="0"/>
                <w:sz w:val="20"/>
                <w:szCs w:val="20"/>
              </w:rPr>
            </w:pPr>
          </w:p>
        </w:tc>
        <w:tc>
          <w:tcPr>
            <w:tcW w:w="1417" w:type="dxa"/>
            <w:tcBorders>
              <w:top w:val="single" w:color="auto" w:sz="4" w:space="0"/>
              <w:left w:val="single" w:color="auto" w:sz="8" w:space="0"/>
              <w:bottom w:val="single" w:color="000000" w:sz="8" w:space="0"/>
              <w:right w:val="nil"/>
            </w:tcBorders>
            <w:shd w:val="clear" w:color="auto" w:fill="auto"/>
            <w:vAlign w:val="center"/>
          </w:tcPr>
          <w:p>
            <w:pPr>
              <w:widowControl/>
              <w:jc w:val="left"/>
              <w:rPr>
                <w:rFonts w:ascii="宋体" w:hAnsi="宋体" w:eastAsia="宋体" w:cs="宋体"/>
                <w:kern w:val="0"/>
                <w:sz w:val="20"/>
                <w:szCs w:val="20"/>
              </w:rPr>
            </w:pPr>
            <w:r>
              <w:rPr>
                <w:rFonts w:hint="eastAsia" w:ascii="宋体" w:hAnsi="宋体" w:eastAsia="宋体" w:cs="宋体"/>
                <w:kern w:val="0"/>
                <w:sz w:val="20"/>
                <w:szCs w:val="20"/>
              </w:rPr>
              <w:t>病毒库升级管理</w:t>
            </w:r>
          </w:p>
        </w:tc>
        <w:tc>
          <w:tcPr>
            <w:tcW w:w="7088" w:type="dxa"/>
            <w:tcBorders>
              <w:top w:val="single" w:color="auto" w:sz="4" w:space="0"/>
              <w:left w:val="single" w:color="auto" w:sz="8" w:space="0"/>
              <w:right w:val="single" w:color="auto" w:sz="8" w:space="0"/>
            </w:tcBorders>
            <w:shd w:val="clear" w:color="auto" w:fill="auto"/>
            <w:vAlign w:val="center"/>
          </w:tcPr>
          <w:p>
            <w:pPr>
              <w:jc w:val="left"/>
              <w:rPr>
                <w:rFonts w:ascii="宋体" w:hAnsi="宋体" w:eastAsia="宋体" w:cs="宋体"/>
                <w:kern w:val="0"/>
                <w:sz w:val="20"/>
                <w:szCs w:val="20"/>
              </w:rPr>
            </w:pPr>
            <w:r>
              <w:rPr>
                <w:rFonts w:hint="eastAsia" w:ascii="宋体" w:hAnsi="宋体" w:eastAsia="宋体" w:cs="宋体"/>
                <w:kern w:val="0"/>
                <w:sz w:val="20"/>
                <w:szCs w:val="20"/>
              </w:rPr>
              <w:t>要求支持客户端升级时对网络带宽的保护，可以设定服务器端最大升级带宽。（提供产品界面截图并加盖厂商公章）</w:t>
            </w:r>
          </w:p>
        </w:tc>
      </w:tr>
      <w:tr>
        <w:tblPrEx>
          <w:tblCellMar>
            <w:top w:w="0" w:type="dxa"/>
            <w:left w:w="108" w:type="dxa"/>
            <w:bottom w:w="0" w:type="dxa"/>
            <w:right w:w="108" w:type="dxa"/>
          </w:tblCellMar>
        </w:tblPrEx>
        <w:trPr>
          <w:trHeight w:val="270" w:hRule="atLeast"/>
        </w:trPr>
        <w:tc>
          <w:tcPr>
            <w:tcW w:w="2260" w:type="dxa"/>
            <w:gridSpan w:val="2"/>
            <w:vMerge w:val="restart"/>
            <w:tcBorders>
              <w:top w:val="single" w:color="auto" w:sz="8" w:space="0"/>
              <w:left w:val="single" w:color="auto" w:sz="8" w:space="0"/>
              <w:bottom w:val="single" w:color="000000" w:sz="8" w:space="0"/>
              <w:right w:val="nil"/>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补丁分发与漏洞修复</w:t>
            </w:r>
          </w:p>
        </w:tc>
        <w:tc>
          <w:tcPr>
            <w:tcW w:w="7088" w:type="dxa"/>
            <w:tcBorders>
              <w:top w:val="single" w:color="auto" w:sz="8" w:space="0"/>
              <w:left w:val="single" w:color="auto" w:sz="8" w:space="0"/>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要求产品具有定时修复漏洞功能，同时可以设置筛选高危漏洞、功能性补丁等修复类型；</w:t>
            </w:r>
          </w:p>
        </w:tc>
      </w:tr>
      <w:tr>
        <w:tblPrEx>
          <w:tblCellMar>
            <w:top w:w="0" w:type="dxa"/>
            <w:left w:w="108" w:type="dxa"/>
            <w:bottom w:w="0" w:type="dxa"/>
            <w:right w:w="108" w:type="dxa"/>
          </w:tblCellMar>
        </w:tblPrEx>
        <w:trPr>
          <w:trHeight w:val="480" w:hRule="atLeast"/>
        </w:trPr>
        <w:tc>
          <w:tcPr>
            <w:tcW w:w="2260" w:type="dxa"/>
            <w:gridSpan w:val="2"/>
            <w:vMerge w:val="continue"/>
            <w:tcBorders>
              <w:top w:val="single" w:color="auto" w:sz="8" w:space="0"/>
              <w:left w:val="single" w:color="auto" w:sz="8" w:space="0"/>
              <w:bottom w:val="single" w:color="000000" w:sz="8" w:space="0"/>
              <w:right w:val="nil"/>
            </w:tcBorders>
            <w:vAlign w:val="center"/>
          </w:tcPr>
          <w:p>
            <w:pPr>
              <w:widowControl/>
              <w:jc w:val="left"/>
              <w:rPr>
                <w:rFonts w:ascii="宋体" w:hAnsi="宋体" w:eastAsia="宋体" w:cs="宋体"/>
                <w:kern w:val="0"/>
                <w:sz w:val="20"/>
                <w:szCs w:val="20"/>
              </w:rPr>
            </w:pPr>
          </w:p>
        </w:tc>
        <w:tc>
          <w:tcPr>
            <w:tcW w:w="7088" w:type="dxa"/>
            <w:tcBorders>
              <w:top w:val="nil"/>
              <w:left w:val="single" w:color="auto" w:sz="8" w:space="0"/>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支持按CVE编号查询漏洞，支持按KB号查询漏洞，管理员可快速关注高危漏洞，查看漏洞修复情况，如果还有未修复的终端则可立即下发修复任务</w:t>
            </w:r>
          </w:p>
        </w:tc>
      </w:tr>
      <w:tr>
        <w:tblPrEx>
          <w:tblCellMar>
            <w:top w:w="0" w:type="dxa"/>
            <w:left w:w="108" w:type="dxa"/>
            <w:bottom w:w="0" w:type="dxa"/>
            <w:right w:w="108" w:type="dxa"/>
          </w:tblCellMar>
        </w:tblPrEx>
        <w:trPr>
          <w:trHeight w:val="523" w:hRule="atLeast"/>
        </w:trPr>
        <w:tc>
          <w:tcPr>
            <w:tcW w:w="2260" w:type="dxa"/>
            <w:gridSpan w:val="2"/>
            <w:vMerge w:val="continue"/>
            <w:tcBorders>
              <w:top w:val="single" w:color="auto" w:sz="8" w:space="0"/>
              <w:left w:val="single" w:color="auto" w:sz="8" w:space="0"/>
              <w:bottom w:val="single" w:color="000000" w:sz="8"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eastAsia="宋体" w:cs="宋体"/>
                <w:kern w:val="0"/>
                <w:sz w:val="20"/>
                <w:szCs w:val="20"/>
              </w:rPr>
            </w:pPr>
            <w:r>
              <w:rPr>
                <w:rFonts w:hint="eastAsia" w:ascii="宋体" w:hAnsi="宋体" w:eastAsia="宋体" w:cs="宋体"/>
                <w:kern w:val="0"/>
                <w:sz w:val="20"/>
                <w:szCs w:val="20"/>
              </w:rPr>
              <w:t>支持补丁下载安装顺序设置，可以有效节省漏洞修复时间与减少CPU占用；</w:t>
            </w:r>
          </w:p>
        </w:tc>
      </w:tr>
      <w:tr>
        <w:tblPrEx>
          <w:tblCellMar>
            <w:top w:w="0" w:type="dxa"/>
            <w:left w:w="108" w:type="dxa"/>
            <w:bottom w:w="0" w:type="dxa"/>
            <w:right w:w="108" w:type="dxa"/>
          </w:tblCellMar>
        </w:tblPrEx>
        <w:trPr>
          <w:trHeight w:val="480" w:hRule="atLeast"/>
        </w:trPr>
        <w:tc>
          <w:tcPr>
            <w:tcW w:w="2260" w:type="dxa"/>
            <w:gridSpan w:val="2"/>
            <w:vMerge w:val="continue"/>
            <w:tcBorders>
              <w:top w:val="single" w:color="auto" w:sz="8" w:space="0"/>
              <w:left w:val="single" w:color="auto" w:sz="8" w:space="0"/>
              <w:bottom w:val="single" w:color="000000" w:sz="8" w:space="0"/>
              <w:right w:val="nil"/>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single" w:color="auto" w:sz="8" w:space="0"/>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简化补丁运维工作，支持补丁灰度发布，支持设置对特定分组优先进行补丁分发，自定义测试一段时间后再全网升级，实现补丁自动化运维（提供产品界面截图并加盖厂商公章）</w:t>
            </w:r>
          </w:p>
        </w:tc>
      </w:tr>
      <w:tr>
        <w:tblPrEx>
          <w:tblCellMar>
            <w:top w:w="0" w:type="dxa"/>
            <w:left w:w="108" w:type="dxa"/>
            <w:bottom w:w="0" w:type="dxa"/>
            <w:right w:w="108" w:type="dxa"/>
          </w:tblCellMar>
        </w:tblPrEx>
        <w:trPr>
          <w:trHeight w:val="586" w:hRule="atLeast"/>
        </w:trPr>
        <w:tc>
          <w:tcPr>
            <w:tcW w:w="2260" w:type="dxa"/>
            <w:gridSpan w:val="2"/>
            <w:vMerge w:val="continue"/>
            <w:tcBorders>
              <w:top w:val="single" w:color="auto" w:sz="8" w:space="0"/>
              <w:left w:val="single" w:color="auto" w:sz="8" w:space="0"/>
              <w:bottom w:val="single" w:color="auto" w:sz="4" w:space="0"/>
              <w:right w:val="nil"/>
            </w:tcBorders>
            <w:vAlign w:val="center"/>
          </w:tcPr>
          <w:p>
            <w:pPr>
              <w:widowControl/>
              <w:jc w:val="left"/>
              <w:rPr>
                <w:rFonts w:ascii="宋体" w:hAnsi="宋体" w:eastAsia="宋体" w:cs="宋体"/>
                <w:kern w:val="0"/>
                <w:sz w:val="20"/>
                <w:szCs w:val="20"/>
              </w:rPr>
            </w:pPr>
          </w:p>
        </w:tc>
        <w:tc>
          <w:tcPr>
            <w:tcW w:w="7088" w:type="dxa"/>
            <w:tcBorders>
              <w:top w:val="nil"/>
              <w:left w:val="single" w:color="auto" w:sz="8" w:space="0"/>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支持Windows 10补丁预热,提高终端下载补丁成功率</w:t>
            </w:r>
          </w:p>
        </w:tc>
      </w:tr>
      <w:tr>
        <w:tblPrEx>
          <w:tblCellMar>
            <w:top w:w="0" w:type="dxa"/>
            <w:left w:w="108" w:type="dxa"/>
            <w:bottom w:w="0" w:type="dxa"/>
            <w:right w:w="108" w:type="dxa"/>
          </w:tblCellMar>
        </w:tblPrEx>
        <w:trPr>
          <w:trHeight w:val="104" w:hRule="atLeast"/>
        </w:trPr>
        <w:tc>
          <w:tcPr>
            <w:tcW w:w="2260" w:type="dxa"/>
            <w:gridSpan w:val="2"/>
            <w:vMerge w:val="restart"/>
            <w:tcBorders>
              <w:top w:val="single" w:color="auto" w:sz="4" w:space="0"/>
              <w:left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移动存储管理功能</w:t>
            </w: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sz w:val="20"/>
                <w:szCs w:val="20"/>
              </w:rPr>
              <w:t>支持管理员对入网的移动存储介质进行注册，可以对已注册的移动介质进行管理，包括授权、启用、停用、删除、取消注册、导出注册列表等</w:t>
            </w:r>
          </w:p>
        </w:tc>
      </w:tr>
      <w:tr>
        <w:tblPrEx>
          <w:tblCellMar>
            <w:top w:w="0" w:type="dxa"/>
            <w:left w:w="108" w:type="dxa"/>
            <w:bottom w:w="0" w:type="dxa"/>
            <w:right w:w="108" w:type="dxa"/>
          </w:tblCellMar>
        </w:tblPrEx>
        <w:trPr>
          <w:trHeight w:val="98" w:hRule="atLeast"/>
        </w:trPr>
        <w:tc>
          <w:tcPr>
            <w:tcW w:w="2260" w:type="dxa"/>
            <w:gridSpan w:val="2"/>
            <w:vMerge w:val="continue"/>
            <w:tcBorders>
              <w:left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sz w:val="20"/>
                <w:szCs w:val="20"/>
              </w:rPr>
              <w:t>支持客户端自主申请移动存储介质注册，管理员统一对申请进行审批；</w:t>
            </w:r>
          </w:p>
        </w:tc>
      </w:tr>
      <w:tr>
        <w:tblPrEx>
          <w:tblCellMar>
            <w:top w:w="0" w:type="dxa"/>
            <w:left w:w="108" w:type="dxa"/>
            <w:bottom w:w="0" w:type="dxa"/>
            <w:right w:w="108" w:type="dxa"/>
          </w:tblCellMar>
        </w:tblPrEx>
        <w:trPr>
          <w:trHeight w:val="98" w:hRule="atLeast"/>
        </w:trPr>
        <w:tc>
          <w:tcPr>
            <w:tcW w:w="2260" w:type="dxa"/>
            <w:gridSpan w:val="2"/>
            <w:vMerge w:val="continue"/>
            <w:tcBorders>
              <w:left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sz w:val="20"/>
                <w:szCs w:val="20"/>
              </w:rPr>
              <w:t>可单独下发标签授权，方便用户管理（多个U盘可以注册为同一种标签），支持多级环境下U盘漫游功能</w:t>
            </w:r>
          </w:p>
        </w:tc>
      </w:tr>
      <w:tr>
        <w:tblPrEx>
          <w:tblCellMar>
            <w:top w:w="0" w:type="dxa"/>
            <w:left w:w="108" w:type="dxa"/>
            <w:bottom w:w="0" w:type="dxa"/>
            <w:right w:w="108" w:type="dxa"/>
          </w:tblCellMar>
        </w:tblPrEx>
        <w:trPr>
          <w:trHeight w:val="98" w:hRule="atLeast"/>
        </w:trPr>
        <w:tc>
          <w:tcPr>
            <w:tcW w:w="2260" w:type="dxa"/>
            <w:gridSpan w:val="2"/>
            <w:vMerge w:val="continue"/>
            <w:tcBorders>
              <w:left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sz w:val="20"/>
                <w:szCs w:val="20"/>
              </w:rPr>
              <w:t>支持U盘与终端进行点对点的授权，可以灵活控制单个U盘在不同终端上拥有不同的使用权限</w:t>
            </w:r>
          </w:p>
        </w:tc>
      </w:tr>
      <w:tr>
        <w:tblPrEx>
          <w:tblCellMar>
            <w:top w:w="0" w:type="dxa"/>
            <w:left w:w="108" w:type="dxa"/>
            <w:bottom w:w="0" w:type="dxa"/>
            <w:right w:w="108" w:type="dxa"/>
          </w:tblCellMar>
        </w:tblPrEx>
        <w:trPr>
          <w:trHeight w:val="98" w:hRule="atLeast"/>
        </w:trPr>
        <w:tc>
          <w:tcPr>
            <w:tcW w:w="2260" w:type="dxa"/>
            <w:gridSpan w:val="2"/>
            <w:vMerge w:val="continue"/>
            <w:tcBorders>
              <w:left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sz w:val="20"/>
                <w:szCs w:val="20"/>
              </w:rPr>
              <w:t>支持管理员设置自动审批客户端注册请求；不同分组可设置不同审批规则</w:t>
            </w:r>
          </w:p>
        </w:tc>
      </w:tr>
      <w:tr>
        <w:tblPrEx>
          <w:tblCellMar>
            <w:top w:w="0" w:type="dxa"/>
            <w:left w:w="108" w:type="dxa"/>
            <w:bottom w:w="0" w:type="dxa"/>
            <w:right w:w="108" w:type="dxa"/>
          </w:tblCellMar>
        </w:tblPrEx>
        <w:trPr>
          <w:trHeight w:val="98" w:hRule="atLeast"/>
        </w:trPr>
        <w:tc>
          <w:tcPr>
            <w:tcW w:w="2260" w:type="dxa"/>
            <w:gridSpan w:val="2"/>
            <w:vMerge w:val="continue"/>
            <w:tcBorders>
              <w:left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sz w:val="20"/>
                <w:szCs w:val="20"/>
              </w:rPr>
              <w:t>支持移动存储介质读写权限划分设置，有效控制不明来历的移动存储可能带来的病毒传播等隐患</w:t>
            </w:r>
          </w:p>
        </w:tc>
      </w:tr>
      <w:tr>
        <w:tblPrEx>
          <w:tblCellMar>
            <w:top w:w="0" w:type="dxa"/>
            <w:left w:w="108" w:type="dxa"/>
            <w:bottom w:w="0" w:type="dxa"/>
            <w:right w:w="108" w:type="dxa"/>
          </w:tblCellMar>
        </w:tblPrEx>
        <w:trPr>
          <w:trHeight w:val="98" w:hRule="atLeast"/>
        </w:trPr>
        <w:tc>
          <w:tcPr>
            <w:tcW w:w="2260" w:type="dxa"/>
            <w:gridSpan w:val="2"/>
            <w:vMerge w:val="continue"/>
            <w:tcBorders>
              <w:left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sz w:val="20"/>
                <w:szCs w:val="20"/>
              </w:rPr>
              <w:t>支持移动存储介质外出管理，并可以设置外出使用权限与有效时间；（提供产品界面截图</w:t>
            </w:r>
            <w:r>
              <w:rPr>
                <w:rFonts w:hint="eastAsia" w:ascii="宋体" w:hAnsi="宋体" w:eastAsia="宋体" w:cs="宋体"/>
                <w:kern w:val="0"/>
                <w:sz w:val="20"/>
                <w:szCs w:val="20"/>
              </w:rPr>
              <w:t>并加盖厂商公章</w:t>
            </w:r>
            <w:r>
              <w:rPr>
                <w:rFonts w:hint="eastAsia"/>
                <w:sz w:val="20"/>
                <w:szCs w:val="20"/>
              </w:rPr>
              <w:t>）</w:t>
            </w:r>
          </w:p>
        </w:tc>
      </w:tr>
      <w:tr>
        <w:tblPrEx>
          <w:tblCellMar>
            <w:top w:w="0" w:type="dxa"/>
            <w:left w:w="108" w:type="dxa"/>
            <w:bottom w:w="0" w:type="dxa"/>
            <w:right w:w="108" w:type="dxa"/>
          </w:tblCellMar>
        </w:tblPrEx>
        <w:trPr>
          <w:trHeight w:val="98" w:hRule="atLeast"/>
        </w:trPr>
        <w:tc>
          <w:tcPr>
            <w:tcW w:w="2260" w:type="dxa"/>
            <w:gridSpan w:val="2"/>
            <w:vMerge w:val="continue"/>
            <w:tcBorders>
              <w:left w:val="single" w:color="auto" w:sz="4" w:space="0"/>
              <w:bottom w:val="single" w:color="auto" w:sz="4" w:space="0"/>
              <w:right w:val="single" w:color="auto" w:sz="4" w:space="0"/>
            </w:tcBorders>
            <w:shd w:val="clear" w:color="auto" w:fill="auto"/>
            <w:vAlign w:val="center"/>
          </w:tcPr>
          <w:p>
            <w:pPr>
              <w:widowControl/>
              <w:jc w:val="center"/>
              <w:rPr>
                <w:rFonts w:ascii="宋体" w:hAnsi="宋体" w:eastAsia="宋体" w:cs="宋体"/>
                <w:kern w:val="0"/>
                <w:sz w:val="20"/>
                <w:szCs w:val="20"/>
              </w:rPr>
            </w:pPr>
          </w:p>
        </w:tc>
        <w:tc>
          <w:tcPr>
            <w:tcW w:w="7088"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sz w:val="20"/>
                <w:szCs w:val="20"/>
              </w:rPr>
              <w:t>支持移动存储介质权限设为普通设备与加密设备，可设置是否允许网外使用；</w:t>
            </w:r>
          </w:p>
        </w:tc>
      </w:tr>
      <w:tr>
        <w:tblPrEx>
          <w:tblCellMar>
            <w:top w:w="0" w:type="dxa"/>
            <w:left w:w="108" w:type="dxa"/>
            <w:bottom w:w="0" w:type="dxa"/>
            <w:right w:w="108" w:type="dxa"/>
          </w:tblCellMar>
        </w:tblPrEx>
        <w:trPr>
          <w:trHeight w:val="484" w:hRule="atLeast"/>
        </w:trPr>
        <w:tc>
          <w:tcPr>
            <w:tcW w:w="2260" w:type="dxa"/>
            <w:gridSpan w:val="2"/>
            <w:vMerge w:val="restart"/>
            <w:tcBorders>
              <w:top w:val="single" w:color="auto" w:sz="4" w:space="0"/>
              <w:left w:val="single" w:color="auto" w:sz="8" w:space="0"/>
              <w:right w:val="nil"/>
            </w:tcBorders>
            <w:shd w:val="clear" w:color="auto" w:fill="auto"/>
            <w:vAlign w:val="center"/>
          </w:tcPr>
          <w:p>
            <w:pPr>
              <w:widowControl/>
              <w:jc w:val="center"/>
              <w:rPr>
                <w:rFonts w:ascii="宋体" w:hAnsi="宋体" w:eastAsia="宋体" w:cs="宋体"/>
                <w:kern w:val="0"/>
                <w:sz w:val="20"/>
                <w:szCs w:val="20"/>
                <w:highlight w:val="yellow"/>
              </w:rPr>
            </w:pPr>
            <w:r>
              <w:rPr>
                <w:rFonts w:hint="eastAsia" w:ascii="宋体" w:hAnsi="宋体" w:eastAsia="宋体" w:cs="宋体"/>
                <w:kern w:val="0"/>
                <w:sz w:val="20"/>
                <w:szCs w:val="20"/>
              </w:rPr>
              <w:t>防病毒功能授权（Windows服务器）；</w:t>
            </w:r>
            <w:r>
              <w:rPr>
                <w:rFonts w:hint="eastAsia" w:ascii="宋体" w:hAnsi="宋体" w:eastAsia="宋体" w:cs="宋体"/>
                <w:kern w:val="0"/>
                <w:sz w:val="20"/>
                <w:szCs w:val="20"/>
              </w:rPr>
              <w:br w:type="textWrapping"/>
            </w:r>
            <w:r>
              <w:rPr>
                <w:rFonts w:hint="eastAsia" w:ascii="宋体" w:hAnsi="宋体" w:eastAsia="宋体" w:cs="宋体"/>
                <w:kern w:val="0"/>
                <w:sz w:val="20"/>
                <w:szCs w:val="20"/>
              </w:rPr>
              <w:t>Windows服务器补丁管理功能授权</w:t>
            </w:r>
          </w:p>
        </w:tc>
        <w:tc>
          <w:tcPr>
            <w:tcW w:w="7088" w:type="dxa"/>
            <w:tcBorders>
              <w:top w:val="single" w:color="auto" w:sz="4" w:space="0"/>
              <w:left w:val="single" w:color="auto" w:sz="8" w:space="0"/>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highlight w:val="yellow"/>
              </w:rPr>
            </w:pPr>
            <w:r>
              <w:rPr>
                <w:rFonts w:hint="eastAsia" w:ascii="宋体" w:hAnsi="宋体" w:eastAsia="宋体" w:cs="宋体"/>
                <w:kern w:val="0"/>
                <w:sz w:val="20"/>
                <w:szCs w:val="20"/>
              </w:rPr>
              <w:t>至少支持Windows Server 2003、2008、2012、2016版本操作系统平台的杀毒防护与漏洞管理，并可对Windows xp 和Windows Server 2003提供后续漏洞防护；</w:t>
            </w:r>
          </w:p>
        </w:tc>
      </w:tr>
      <w:tr>
        <w:tblPrEx>
          <w:tblCellMar>
            <w:top w:w="0" w:type="dxa"/>
            <w:left w:w="108" w:type="dxa"/>
            <w:bottom w:w="0" w:type="dxa"/>
            <w:right w:w="108" w:type="dxa"/>
          </w:tblCellMar>
        </w:tblPrEx>
        <w:trPr>
          <w:trHeight w:val="484" w:hRule="atLeast"/>
        </w:trPr>
        <w:tc>
          <w:tcPr>
            <w:tcW w:w="2260" w:type="dxa"/>
            <w:gridSpan w:val="2"/>
            <w:vMerge w:val="continue"/>
            <w:tcBorders>
              <w:left w:val="single" w:color="auto" w:sz="8" w:space="0"/>
              <w:right w:val="nil"/>
            </w:tcBorders>
            <w:shd w:val="clear" w:color="auto" w:fill="auto"/>
            <w:vAlign w:val="center"/>
          </w:tcPr>
          <w:p>
            <w:pPr>
              <w:widowControl/>
              <w:jc w:val="center"/>
              <w:rPr>
                <w:rFonts w:ascii="宋体" w:hAnsi="宋体" w:eastAsia="宋体" w:cs="宋体"/>
                <w:kern w:val="0"/>
                <w:sz w:val="20"/>
                <w:szCs w:val="20"/>
                <w:highlight w:val="yellow"/>
              </w:rPr>
            </w:pPr>
          </w:p>
        </w:tc>
        <w:tc>
          <w:tcPr>
            <w:tcW w:w="7088" w:type="dxa"/>
            <w:tcBorders>
              <w:top w:val="single" w:color="auto" w:sz="4" w:space="0"/>
              <w:left w:val="single" w:color="auto" w:sz="8" w:space="0"/>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highlight w:val="yellow"/>
              </w:rPr>
            </w:pPr>
            <w:r>
              <w:rPr>
                <w:rFonts w:hint="eastAsia"/>
                <w:sz w:val="20"/>
                <w:szCs w:val="20"/>
              </w:rPr>
              <w:t>针对服务器系统，开启远程登录保护功能，加强对黑客远程弱口令扫描防护（提供产品界面截图</w:t>
            </w:r>
            <w:r>
              <w:rPr>
                <w:rFonts w:hint="eastAsia" w:ascii="宋体" w:hAnsi="宋体" w:eastAsia="宋体" w:cs="宋体"/>
                <w:kern w:val="0"/>
                <w:sz w:val="20"/>
                <w:szCs w:val="20"/>
              </w:rPr>
              <w:t>并加盖厂商公章</w:t>
            </w:r>
            <w:r>
              <w:rPr>
                <w:rFonts w:hint="eastAsia"/>
                <w:sz w:val="20"/>
                <w:szCs w:val="20"/>
              </w:rPr>
              <w:t>）</w:t>
            </w:r>
          </w:p>
        </w:tc>
      </w:tr>
      <w:tr>
        <w:tblPrEx>
          <w:tblCellMar>
            <w:top w:w="0" w:type="dxa"/>
            <w:left w:w="108" w:type="dxa"/>
            <w:bottom w:w="0" w:type="dxa"/>
            <w:right w:w="108" w:type="dxa"/>
          </w:tblCellMar>
        </w:tblPrEx>
        <w:trPr>
          <w:trHeight w:val="484" w:hRule="atLeast"/>
        </w:trPr>
        <w:tc>
          <w:tcPr>
            <w:tcW w:w="2260" w:type="dxa"/>
            <w:gridSpan w:val="2"/>
            <w:vMerge w:val="continue"/>
            <w:tcBorders>
              <w:left w:val="single" w:color="auto" w:sz="8" w:space="0"/>
              <w:bottom w:val="nil"/>
              <w:right w:val="nil"/>
            </w:tcBorders>
            <w:shd w:val="clear" w:color="auto" w:fill="auto"/>
            <w:vAlign w:val="center"/>
          </w:tcPr>
          <w:p>
            <w:pPr>
              <w:widowControl/>
              <w:jc w:val="center"/>
              <w:rPr>
                <w:rFonts w:ascii="宋体" w:hAnsi="宋体" w:eastAsia="宋体" w:cs="宋体"/>
                <w:kern w:val="0"/>
                <w:sz w:val="20"/>
                <w:szCs w:val="20"/>
                <w:highlight w:val="yellow"/>
              </w:rPr>
            </w:pPr>
          </w:p>
        </w:tc>
        <w:tc>
          <w:tcPr>
            <w:tcW w:w="7088" w:type="dxa"/>
            <w:tcBorders>
              <w:top w:val="single" w:color="auto" w:sz="4" w:space="0"/>
              <w:left w:val="single" w:color="auto" w:sz="8" w:space="0"/>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highlight w:val="yellow"/>
              </w:rPr>
            </w:pPr>
            <w:r>
              <w:rPr>
                <w:rFonts w:hint="eastAsia"/>
                <w:sz w:val="20"/>
                <w:szCs w:val="20"/>
              </w:rPr>
              <w:t>为阻止入侵者关闭或者破坏客户端防护、以及放行勒索病毒，将阻止服务器客户端退出和卸载，终端无法添加信任和开发者信任，客户端无法关闭自我保护，禁止应用程序加载驱动。（提供产品界面截图</w:t>
            </w:r>
            <w:r>
              <w:rPr>
                <w:rFonts w:hint="eastAsia" w:ascii="宋体" w:hAnsi="宋体" w:eastAsia="宋体" w:cs="宋体"/>
                <w:kern w:val="0"/>
                <w:sz w:val="20"/>
                <w:szCs w:val="20"/>
              </w:rPr>
              <w:t>并加盖厂商公章</w:t>
            </w:r>
            <w:r>
              <w:rPr>
                <w:rFonts w:hint="eastAsia"/>
                <w:sz w:val="20"/>
                <w:szCs w:val="20"/>
              </w:rPr>
              <w:t>）</w:t>
            </w:r>
          </w:p>
        </w:tc>
      </w:tr>
      <w:tr>
        <w:tblPrEx>
          <w:tblCellMar>
            <w:top w:w="0" w:type="dxa"/>
            <w:left w:w="108" w:type="dxa"/>
            <w:bottom w:w="0" w:type="dxa"/>
            <w:right w:w="108" w:type="dxa"/>
          </w:tblCellMar>
        </w:tblPrEx>
        <w:trPr>
          <w:trHeight w:val="480" w:hRule="atLeast"/>
        </w:trPr>
        <w:tc>
          <w:tcPr>
            <w:tcW w:w="2260" w:type="dxa"/>
            <w:gridSpan w:val="2"/>
            <w:vMerge w:val="restart"/>
            <w:tcBorders>
              <w:top w:val="single" w:color="auto" w:sz="8" w:space="0"/>
              <w:left w:val="single" w:color="auto" w:sz="8" w:space="0"/>
              <w:bottom w:val="nil"/>
              <w:right w:val="single" w:color="000000" w:sz="8"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运维管控</w:t>
            </w:r>
          </w:p>
        </w:tc>
        <w:tc>
          <w:tcPr>
            <w:tcW w:w="7088" w:type="dxa"/>
            <w:tcBorders>
              <w:top w:val="single" w:color="auto" w:sz="8" w:space="0"/>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支持终端在互联网NAT环境下的远程控制；</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支持远程操作时锁定屏幕、截取屏幕，远程锁定屏幕后需要输入解锁密码才可再次使用；</w:t>
            </w:r>
          </w:p>
        </w:tc>
      </w:tr>
      <w:tr>
        <w:tblPrEx>
          <w:tblCellMar>
            <w:top w:w="0" w:type="dxa"/>
            <w:left w:w="108" w:type="dxa"/>
            <w:bottom w:w="0" w:type="dxa"/>
            <w:right w:w="108" w:type="dxa"/>
          </w:tblCellMar>
        </w:tblPrEx>
        <w:trPr>
          <w:trHeight w:val="390"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可监控指定终端网络、应用程序的上传，下载速度与流量；</w:t>
            </w:r>
          </w:p>
        </w:tc>
      </w:tr>
      <w:tr>
        <w:tblPrEx>
          <w:tblCellMar>
            <w:top w:w="0" w:type="dxa"/>
            <w:left w:w="108" w:type="dxa"/>
            <w:bottom w:w="0" w:type="dxa"/>
            <w:right w:w="108" w:type="dxa"/>
          </w:tblCellMar>
        </w:tblPrEx>
        <w:trPr>
          <w:trHeight w:val="585"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支持冗余有线网卡、无线网卡、3G网卡、MODEM、ADSL、ISDN等设备的外联控制；违规外联发生时可针对内外网连接状态分别设置违规处理措施</w:t>
            </w:r>
          </w:p>
        </w:tc>
      </w:tr>
      <w:tr>
        <w:tblPrEx>
          <w:tblCellMar>
            <w:top w:w="0" w:type="dxa"/>
            <w:left w:w="108" w:type="dxa"/>
            <w:bottom w:w="0" w:type="dxa"/>
            <w:right w:w="108" w:type="dxa"/>
          </w:tblCellMar>
        </w:tblPrEx>
        <w:trPr>
          <w:trHeight w:val="585"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支持tcp、ping、域名解析三种外联探测方式，支持自定义探测地址，探测频率，支持外联告警断网，支持终端互联网出口IP探测</w:t>
            </w:r>
          </w:p>
        </w:tc>
      </w:tr>
      <w:tr>
        <w:tblPrEx>
          <w:tblCellMar>
            <w:top w:w="0" w:type="dxa"/>
            <w:left w:w="108" w:type="dxa"/>
            <w:bottom w:w="0" w:type="dxa"/>
            <w:right w:w="108" w:type="dxa"/>
          </w:tblCellMar>
        </w:tblPrEx>
        <w:trPr>
          <w:trHeight w:val="585"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支持禁止终端创建热点，支持设置可信ssid白名单，支持设置可信ssid与mac地址校验功能。</w:t>
            </w:r>
          </w:p>
        </w:tc>
      </w:tr>
      <w:tr>
        <w:tblPrEx>
          <w:tblCellMar>
            <w:top w:w="0" w:type="dxa"/>
            <w:left w:w="108" w:type="dxa"/>
            <w:bottom w:w="0" w:type="dxa"/>
            <w:right w:w="108" w:type="dxa"/>
          </w:tblCellMar>
        </w:tblPrEx>
        <w:trPr>
          <w:trHeight w:val="480"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支持能耗管理，支持定时关机策略，规定时间提示倒计时关机；支持终端工作时间外的开机告警；</w:t>
            </w:r>
            <w:r>
              <w:rPr>
                <w:rFonts w:ascii="宋体" w:hAnsi="宋体" w:eastAsia="宋体" w:cs="宋体"/>
                <w:kern w:val="0"/>
                <w:sz w:val="20"/>
                <w:szCs w:val="20"/>
              </w:rPr>
              <w:t xml:space="preserve"> </w:t>
            </w:r>
          </w:p>
        </w:tc>
      </w:tr>
      <w:tr>
        <w:tblPrEx>
          <w:tblCellMar>
            <w:top w:w="0" w:type="dxa"/>
            <w:left w:w="108" w:type="dxa"/>
            <w:bottom w:w="0" w:type="dxa"/>
            <w:right w:w="108" w:type="dxa"/>
          </w:tblCellMar>
        </w:tblPrEx>
        <w:trPr>
          <w:trHeight w:val="480"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支持性能监控管理，当CPU、内存在指定时间内使用率超过自定义百分比，产生报警日志，并可设置每天上报日志条数，支持对终端系统盘空间小于多少MB产生报警（提供功能截图证明并加盖厂商公章）</w:t>
            </w:r>
          </w:p>
        </w:tc>
      </w:tr>
      <w:tr>
        <w:tblPrEx>
          <w:tblCellMar>
            <w:top w:w="0" w:type="dxa"/>
            <w:left w:w="108" w:type="dxa"/>
            <w:bottom w:w="0" w:type="dxa"/>
            <w:right w:w="108" w:type="dxa"/>
          </w:tblCellMar>
        </w:tblPrEx>
        <w:trPr>
          <w:trHeight w:val="480"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支持禁用安全模式或者设置安全模式登录密码（提供产品界面截图并加盖厂商公章）</w:t>
            </w:r>
          </w:p>
        </w:tc>
      </w:tr>
      <w:tr>
        <w:tblPrEx>
          <w:tblCellMar>
            <w:top w:w="0" w:type="dxa"/>
            <w:left w:w="108" w:type="dxa"/>
            <w:bottom w:w="0" w:type="dxa"/>
            <w:right w:w="108" w:type="dxa"/>
          </w:tblCellMar>
        </w:tblPrEx>
        <w:trPr>
          <w:trHeight w:val="585"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支持终端进程红名单、黑名单、白名单功能，可设置核心进程必须运行，也可保护核心进程不被结束。</w:t>
            </w:r>
          </w:p>
        </w:tc>
      </w:tr>
      <w:tr>
        <w:tblPrEx>
          <w:tblCellMar>
            <w:top w:w="0" w:type="dxa"/>
            <w:left w:w="108" w:type="dxa"/>
            <w:bottom w:w="0" w:type="dxa"/>
            <w:right w:w="108" w:type="dxa"/>
          </w:tblCellMar>
        </w:tblPrEx>
        <w:trPr>
          <w:trHeight w:val="345"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支持对系统服务的黑名单、白名单，触发违规服务产生告警</w:t>
            </w:r>
          </w:p>
        </w:tc>
      </w:tr>
      <w:tr>
        <w:tblPrEx>
          <w:tblCellMar>
            <w:top w:w="0" w:type="dxa"/>
            <w:left w:w="108" w:type="dxa"/>
            <w:bottom w:w="0" w:type="dxa"/>
            <w:right w:w="108" w:type="dxa"/>
          </w:tblCellMar>
        </w:tblPrEx>
        <w:trPr>
          <w:trHeight w:val="480"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支持网址白名单，通过信任网址白名单可以管理企业网络内信任的网址，加入信任后终端不再将此网址视为威胁</w:t>
            </w:r>
            <w:r>
              <w:rPr>
                <w:rFonts w:hint="eastAsia" w:ascii="宋体" w:hAnsi="宋体" w:eastAsia="宋体" w:cs="宋体"/>
                <w:kern w:val="0"/>
                <w:sz w:val="20"/>
                <w:szCs w:val="20"/>
              </w:rPr>
              <w:br w:type="textWrapping"/>
            </w:r>
            <w:r>
              <w:rPr>
                <w:rFonts w:hint="eastAsia" w:ascii="宋体" w:hAnsi="宋体" w:eastAsia="宋体" w:cs="宋体"/>
                <w:kern w:val="0"/>
                <w:sz w:val="20"/>
                <w:szCs w:val="20"/>
              </w:rPr>
              <w:t>支持网址黑名单，可设置终端不能访问的网址URL，终端访问这些URL时会被拦截，并展示拦截记录</w:t>
            </w:r>
          </w:p>
        </w:tc>
      </w:tr>
      <w:tr>
        <w:tblPrEx>
          <w:tblCellMar>
            <w:top w:w="0" w:type="dxa"/>
            <w:left w:w="108" w:type="dxa"/>
            <w:bottom w:w="0" w:type="dxa"/>
            <w:right w:w="108" w:type="dxa"/>
          </w:tblCellMar>
        </w:tblPrEx>
        <w:trPr>
          <w:trHeight w:val="480"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支持对终端各种外设（USB存储、硬盘、存储卡、光驱、打印机、扫描仪、摄像头、手机、平板等）、接口（USB口、串口、并口、1394、PCMIA）设置使用权限</w:t>
            </w:r>
          </w:p>
        </w:tc>
      </w:tr>
      <w:tr>
        <w:tblPrEx>
          <w:tblCellMar>
            <w:top w:w="0" w:type="dxa"/>
            <w:left w:w="108" w:type="dxa"/>
            <w:bottom w:w="0" w:type="dxa"/>
            <w:right w:w="108" w:type="dxa"/>
          </w:tblCellMar>
        </w:tblPrEx>
        <w:trPr>
          <w:trHeight w:val="480"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支持自定义外设黑白名单，且支持分组执行、支持以设备名称或者PID/VID例外</w:t>
            </w:r>
          </w:p>
        </w:tc>
      </w:tr>
      <w:tr>
        <w:tblPrEx>
          <w:tblCellMar>
            <w:top w:w="0" w:type="dxa"/>
            <w:left w:w="108" w:type="dxa"/>
            <w:bottom w:w="0" w:type="dxa"/>
            <w:right w:w="108" w:type="dxa"/>
          </w:tblCellMar>
        </w:tblPrEx>
        <w:trPr>
          <w:trHeight w:val="519" w:hRule="atLeast"/>
        </w:trPr>
        <w:tc>
          <w:tcPr>
            <w:tcW w:w="2260" w:type="dxa"/>
            <w:gridSpan w:val="2"/>
            <w:vMerge w:val="continue"/>
            <w:tcBorders>
              <w:top w:val="single" w:color="auto" w:sz="8" w:space="0"/>
              <w:left w:val="single" w:color="auto" w:sz="8" w:space="0"/>
              <w:bottom w:val="nil"/>
              <w:right w:val="single" w:color="000000" w:sz="8" w:space="0"/>
            </w:tcBorders>
            <w:vAlign w:val="center"/>
          </w:tcPr>
          <w:p>
            <w:pPr>
              <w:widowControl/>
              <w:jc w:val="left"/>
              <w:rPr>
                <w:rFonts w:ascii="宋体" w:hAnsi="宋体" w:eastAsia="宋体" w:cs="宋体"/>
                <w:kern w:val="0"/>
                <w:sz w:val="20"/>
                <w:szCs w:val="20"/>
              </w:rPr>
            </w:pPr>
          </w:p>
        </w:tc>
        <w:tc>
          <w:tcPr>
            <w:tcW w:w="7088" w:type="dxa"/>
            <w:tcBorders>
              <w:top w:val="nil"/>
              <w:left w:val="nil"/>
              <w:right w:val="single" w:color="auto" w:sz="8" w:space="0"/>
            </w:tcBorders>
            <w:shd w:val="clear" w:color="auto" w:fill="auto"/>
            <w:vAlign w:val="center"/>
          </w:tcPr>
          <w:p>
            <w:pPr>
              <w:rPr>
                <w:rFonts w:ascii="宋体" w:hAnsi="宋体" w:eastAsia="宋体" w:cs="宋体"/>
                <w:kern w:val="0"/>
                <w:sz w:val="20"/>
                <w:szCs w:val="20"/>
              </w:rPr>
            </w:pPr>
            <w:r>
              <w:rPr>
                <w:rFonts w:hint="eastAsia" w:ascii="宋体" w:hAnsi="宋体" w:eastAsia="宋体" w:cs="宋体"/>
                <w:kern w:val="0"/>
                <w:sz w:val="20"/>
                <w:szCs w:val="20"/>
              </w:rPr>
              <w:t>支持LDAP账号的终端用户策略模式；（提供产品界面截图并加盖厂商公章）</w:t>
            </w:r>
          </w:p>
        </w:tc>
      </w:tr>
      <w:tr>
        <w:tblPrEx>
          <w:tblCellMar>
            <w:top w:w="0" w:type="dxa"/>
            <w:left w:w="108" w:type="dxa"/>
            <w:bottom w:w="0" w:type="dxa"/>
            <w:right w:w="108" w:type="dxa"/>
          </w:tblCellMar>
        </w:tblPrEx>
        <w:trPr>
          <w:trHeight w:val="480" w:hRule="atLeast"/>
        </w:trPr>
        <w:tc>
          <w:tcPr>
            <w:tcW w:w="2260" w:type="dxa"/>
            <w:gridSpan w:val="2"/>
            <w:vMerge w:val="restart"/>
            <w:tcBorders>
              <w:top w:val="single" w:color="auto" w:sz="4" w:space="0"/>
              <w:left w:val="single" w:color="auto" w:sz="8" w:space="0"/>
              <w:bottom w:val="single" w:color="000000" w:sz="8" w:space="0"/>
              <w:right w:val="single" w:color="auto" w:sz="4" w:space="0"/>
            </w:tcBorders>
            <w:shd w:val="clear" w:color="auto" w:fill="auto"/>
            <w:vAlign w:val="center"/>
          </w:tcPr>
          <w:p>
            <w:pPr>
              <w:widowControl/>
              <w:jc w:val="center"/>
              <w:rPr>
                <w:rFonts w:ascii="宋体" w:hAnsi="宋体" w:eastAsia="宋体" w:cs="宋体"/>
                <w:kern w:val="0"/>
                <w:sz w:val="20"/>
                <w:szCs w:val="20"/>
              </w:rPr>
            </w:pPr>
            <w:r>
              <w:rPr>
                <w:rFonts w:hint="eastAsia" w:ascii="宋体" w:hAnsi="宋体" w:eastAsia="宋体" w:cs="宋体"/>
                <w:kern w:val="0"/>
                <w:sz w:val="20"/>
                <w:szCs w:val="20"/>
              </w:rPr>
              <w:t>相关资质</w:t>
            </w:r>
          </w:p>
        </w:tc>
        <w:tc>
          <w:tcPr>
            <w:tcW w:w="7088" w:type="dxa"/>
            <w:tcBorders>
              <w:top w:val="single" w:color="auto" w:sz="4" w:space="0"/>
              <w:left w:val="nil"/>
              <w:bottom w:val="single" w:color="auto" w:sz="4" w:space="0"/>
              <w:right w:val="single" w:color="auto" w:sz="8"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提供公安部颁发的《计算机信息系统安全专用产品销售许可证》内网主机监测（一级）资质证书。</w:t>
            </w:r>
          </w:p>
        </w:tc>
      </w:tr>
      <w:tr>
        <w:tblPrEx>
          <w:tblCellMar>
            <w:top w:w="0" w:type="dxa"/>
            <w:left w:w="108" w:type="dxa"/>
            <w:bottom w:w="0" w:type="dxa"/>
            <w:right w:w="108" w:type="dxa"/>
          </w:tblCellMar>
        </w:tblPrEx>
        <w:trPr>
          <w:trHeight w:val="763" w:hRule="atLeast"/>
        </w:trPr>
        <w:tc>
          <w:tcPr>
            <w:tcW w:w="2260" w:type="dxa"/>
            <w:gridSpan w:val="2"/>
            <w:vMerge w:val="continue"/>
            <w:tcBorders>
              <w:top w:val="single" w:color="auto" w:sz="4" w:space="0"/>
              <w:left w:val="single" w:color="auto" w:sz="8" w:space="0"/>
              <w:bottom w:val="single" w:color="000000" w:sz="8" w:space="0"/>
              <w:right w:val="single" w:color="auto" w:sz="4" w:space="0"/>
            </w:tcBorders>
            <w:vAlign w:val="center"/>
          </w:tcPr>
          <w:p>
            <w:pPr>
              <w:widowControl/>
              <w:jc w:val="left"/>
              <w:rPr>
                <w:rFonts w:ascii="宋体" w:hAnsi="宋体" w:eastAsia="宋体" w:cs="宋体"/>
                <w:kern w:val="0"/>
                <w:sz w:val="20"/>
                <w:szCs w:val="20"/>
              </w:rPr>
            </w:pPr>
          </w:p>
        </w:tc>
        <w:tc>
          <w:tcPr>
            <w:tcW w:w="7088" w:type="dxa"/>
            <w:tcBorders>
              <w:top w:val="single" w:color="auto" w:sz="4" w:space="0"/>
              <w:left w:val="nil"/>
              <w:bottom w:val="single" w:color="auto" w:sz="4" w:space="0"/>
              <w:right w:val="single" w:color="auto" w:sz="4" w:space="0"/>
            </w:tcBorders>
            <w:shd w:val="clear" w:color="auto" w:fill="auto"/>
            <w:vAlign w:val="center"/>
          </w:tcPr>
          <w:p>
            <w:pPr>
              <w:widowControl/>
              <w:rPr>
                <w:rFonts w:ascii="宋体" w:hAnsi="宋体" w:eastAsia="宋体" w:cs="宋体"/>
                <w:kern w:val="0"/>
                <w:sz w:val="20"/>
                <w:szCs w:val="20"/>
              </w:rPr>
            </w:pPr>
            <w:r>
              <w:rPr>
                <w:rFonts w:hint="eastAsia" w:ascii="宋体" w:hAnsi="宋体" w:eastAsia="宋体" w:cs="宋体"/>
                <w:kern w:val="0"/>
                <w:sz w:val="20"/>
                <w:szCs w:val="20"/>
              </w:rPr>
              <w:t>具备该软件产品的软件著作权，并提供相关的《计算机软件著作权登记证书》资质证书。</w:t>
            </w:r>
          </w:p>
        </w:tc>
      </w:tr>
    </w:tbl>
    <w:p/>
    <w:p/>
    <w:p>
      <w:pPr>
        <w:spacing w:line="500" w:lineRule="exact"/>
        <w:rPr>
          <w:b w:val="0"/>
        </w:rPr>
      </w:pPr>
      <w:r>
        <w:rPr>
          <w:rFonts w:hint="eastAsia" w:ascii="宋体" w:hAnsi="宋体" w:cs="宋体"/>
          <w:b w:val="0"/>
          <w:szCs w:val="21"/>
        </w:rPr>
        <w:t>注</w:t>
      </w:r>
      <w:r>
        <w:rPr>
          <w:rFonts w:ascii="宋体" w:hAnsi="宋体" w:cs="宋体"/>
          <w:b w:val="0"/>
          <w:szCs w:val="21"/>
        </w:rPr>
        <w:t>：</w:t>
      </w:r>
      <w:r>
        <w:rPr>
          <w:b w:val="0"/>
        </w:rPr>
        <w:t>为保证整体系统兼容性</w:t>
      </w:r>
      <w:r>
        <w:rPr>
          <w:rFonts w:hint="eastAsia"/>
          <w:b w:val="0"/>
        </w:rPr>
        <w:t>和</w:t>
      </w:r>
      <w:r>
        <w:rPr>
          <w:b w:val="0"/>
        </w:rPr>
        <w:t>可管理性，要求</w:t>
      </w:r>
      <w:r>
        <w:rPr>
          <w:rFonts w:hint="eastAsia"/>
          <w:b w:val="0"/>
        </w:rPr>
        <w:t>终端</w:t>
      </w:r>
      <w:r>
        <w:rPr>
          <w:b w:val="0"/>
        </w:rPr>
        <w:t>安全管理系统</w:t>
      </w:r>
      <w:r>
        <w:rPr>
          <w:rFonts w:hint="eastAsia"/>
          <w:b w:val="0"/>
        </w:rPr>
        <w:t>和</w:t>
      </w:r>
      <w:r>
        <w:rPr>
          <w:b w:val="0"/>
        </w:rPr>
        <w:t>服务器端安全管理系统为同一品牌的产品，</w:t>
      </w:r>
      <w:r>
        <w:rPr>
          <w:rFonts w:hint="eastAsia"/>
          <w:b w:val="0"/>
        </w:rPr>
        <w:t>且</w:t>
      </w:r>
      <w:r>
        <w:rPr>
          <w:b w:val="0"/>
        </w:rPr>
        <w:t>提供</w:t>
      </w:r>
      <w:r>
        <w:rPr>
          <w:rFonts w:hint="eastAsia"/>
          <w:b w:val="0"/>
        </w:rPr>
        <w:t>承诺</w:t>
      </w:r>
      <w:r>
        <w:rPr>
          <w:b w:val="0"/>
        </w:rPr>
        <w:t>函</w:t>
      </w:r>
      <w:r>
        <w:rPr>
          <w:rFonts w:hint="eastAsia"/>
          <w:b w:val="0"/>
        </w:rPr>
        <w:t>。</w:t>
      </w:r>
    </w:p>
    <w:p>
      <w:pPr>
        <w:spacing w:line="500" w:lineRule="exact"/>
        <w:ind w:firstLine="560" w:firstLineChars="200"/>
        <w:rPr>
          <w:b w:val="0"/>
        </w:rPr>
      </w:pPr>
      <w:r>
        <w:rPr>
          <w:b w:val="0"/>
        </w:rPr>
        <w:t>投标单位需提供</w:t>
      </w:r>
      <w:r>
        <w:rPr>
          <w:rFonts w:hint="eastAsia"/>
          <w:b w:val="0"/>
        </w:rPr>
        <w:t>核心产品</w:t>
      </w:r>
      <w:r>
        <w:rPr>
          <w:b w:val="0"/>
        </w:rPr>
        <w:t>（</w:t>
      </w:r>
      <w:r>
        <w:rPr>
          <w:rFonts w:hint="eastAsia"/>
          <w:b w:val="0"/>
        </w:rPr>
        <w:t>终端</w:t>
      </w:r>
      <w:r>
        <w:rPr>
          <w:b w:val="0"/>
        </w:rPr>
        <w:t>安全管理系统</w:t>
      </w:r>
      <w:r>
        <w:rPr>
          <w:rFonts w:hint="eastAsia"/>
          <w:b w:val="0"/>
        </w:rPr>
        <w:t>和</w:t>
      </w:r>
      <w:r>
        <w:rPr>
          <w:b w:val="0"/>
        </w:rPr>
        <w:t>服务器端安全管理系统）的原厂质保承诺书并加盖生产厂商公章</w:t>
      </w:r>
      <w:r>
        <w:rPr>
          <w:rFonts w:hint="eastAsia"/>
          <w:b w:val="0"/>
        </w:rPr>
        <w:t>。</w:t>
      </w:r>
    </w:p>
    <w:p>
      <w:pPr>
        <w:tabs>
          <w:tab w:val="left" w:pos="540"/>
        </w:tabs>
        <w:spacing w:line="400" w:lineRule="exact"/>
        <w:rPr>
          <w:rFonts w:ascii="宋体" w:hAnsi="宋体" w:cs="宋体"/>
          <w:b w:val="0"/>
          <w:bCs/>
          <w:szCs w:val="21"/>
        </w:rPr>
      </w:pPr>
    </w:p>
    <w:p>
      <w:pPr>
        <w:tabs>
          <w:tab w:val="left" w:pos="540"/>
        </w:tabs>
        <w:spacing w:line="400" w:lineRule="exact"/>
        <w:rPr>
          <w:rFonts w:ascii="宋体" w:hAnsi="宋体" w:cs="宋体"/>
          <w:bCs/>
          <w:szCs w:val="21"/>
        </w:rPr>
      </w:pPr>
      <w:r>
        <w:rPr>
          <w:rFonts w:hint="eastAsia" w:ascii="宋体" w:hAnsi="宋体" w:cs="宋体"/>
          <w:bCs/>
          <w:szCs w:val="21"/>
        </w:rPr>
        <w:t>五、谈判响应文件的组成及要求：</w:t>
      </w:r>
    </w:p>
    <w:p>
      <w:pPr>
        <w:spacing w:line="400" w:lineRule="exact"/>
        <w:rPr>
          <w:rFonts w:cs="宋体" w:hAnsiTheme="minorEastAsia"/>
          <w:sz w:val="21"/>
          <w:szCs w:val="21"/>
        </w:rPr>
      </w:pPr>
      <w:r>
        <w:rPr>
          <w:rFonts w:hint="eastAsia" w:cs="宋体" w:hAnsiTheme="minorEastAsia"/>
          <w:sz w:val="21"/>
          <w:szCs w:val="21"/>
        </w:rPr>
        <w:t>（一）文件组成：</w:t>
      </w:r>
    </w:p>
    <w:p>
      <w:pPr>
        <w:tabs>
          <w:tab w:val="left" w:pos="540"/>
        </w:tabs>
        <w:snapToGrid w:val="0"/>
        <w:spacing w:line="400" w:lineRule="exact"/>
        <w:rPr>
          <w:rFonts w:cs="宋体" w:hAnsiTheme="minorEastAsia"/>
          <w:sz w:val="21"/>
          <w:szCs w:val="21"/>
        </w:rPr>
      </w:pPr>
      <w:r>
        <w:rPr>
          <w:rFonts w:hint="eastAsia" w:cs="宋体" w:hAnsiTheme="minorEastAsia"/>
          <w:sz w:val="21"/>
          <w:szCs w:val="21"/>
        </w:rPr>
        <w:t>1.谈判响应函；</w:t>
      </w:r>
    </w:p>
    <w:p>
      <w:pPr>
        <w:tabs>
          <w:tab w:val="left" w:pos="540"/>
        </w:tabs>
        <w:snapToGrid w:val="0"/>
        <w:spacing w:line="400" w:lineRule="exact"/>
        <w:rPr>
          <w:rFonts w:cs="宋体" w:hAnsiTheme="minorEastAsia"/>
          <w:sz w:val="21"/>
          <w:szCs w:val="21"/>
        </w:rPr>
      </w:pPr>
      <w:r>
        <w:rPr>
          <w:rFonts w:hint="eastAsia" w:cs="宋体" w:hAnsiTheme="minorEastAsia"/>
          <w:sz w:val="21"/>
          <w:szCs w:val="21"/>
        </w:rPr>
        <w:t>2.谈判报价表；</w:t>
      </w:r>
    </w:p>
    <w:p>
      <w:pPr>
        <w:tabs>
          <w:tab w:val="left" w:pos="540"/>
        </w:tabs>
        <w:snapToGrid w:val="0"/>
        <w:spacing w:line="400" w:lineRule="exact"/>
        <w:rPr>
          <w:rFonts w:cs="宋体" w:hAnsiTheme="minorEastAsia"/>
          <w:sz w:val="21"/>
          <w:szCs w:val="21"/>
        </w:rPr>
      </w:pPr>
      <w:r>
        <w:rPr>
          <w:rFonts w:hint="eastAsia" w:cs="宋体" w:hAnsiTheme="minorEastAsia"/>
          <w:sz w:val="21"/>
          <w:szCs w:val="21"/>
        </w:rPr>
        <w:t>3.关于资格文件的声明函；</w:t>
      </w:r>
    </w:p>
    <w:p>
      <w:pPr>
        <w:tabs>
          <w:tab w:val="left" w:pos="540"/>
        </w:tabs>
        <w:snapToGrid w:val="0"/>
        <w:spacing w:line="400" w:lineRule="exact"/>
        <w:rPr>
          <w:rFonts w:cs="宋体" w:hAnsiTheme="minorEastAsia"/>
          <w:sz w:val="21"/>
          <w:szCs w:val="21"/>
        </w:rPr>
      </w:pPr>
      <w:r>
        <w:rPr>
          <w:rFonts w:hint="eastAsia" w:cs="宋体" w:hAnsiTheme="minorEastAsia"/>
          <w:sz w:val="21"/>
          <w:szCs w:val="21"/>
        </w:rPr>
        <w:t>4.供应商《营业执照》副本复印件；</w:t>
      </w:r>
    </w:p>
    <w:p>
      <w:pPr>
        <w:tabs>
          <w:tab w:val="left" w:pos="540"/>
        </w:tabs>
        <w:snapToGrid w:val="0"/>
        <w:spacing w:line="400" w:lineRule="exact"/>
        <w:rPr>
          <w:rFonts w:cs="宋体" w:hAnsiTheme="minorEastAsia"/>
          <w:sz w:val="21"/>
          <w:szCs w:val="21"/>
        </w:rPr>
      </w:pPr>
      <w:r>
        <w:rPr>
          <w:rFonts w:hint="eastAsia" w:cs="宋体" w:hAnsiTheme="minorEastAsia"/>
          <w:sz w:val="21"/>
          <w:szCs w:val="21"/>
        </w:rPr>
        <w:t>5.供应商《税务登记证》副本复印件（三证合一无需提供）；</w:t>
      </w:r>
    </w:p>
    <w:p>
      <w:pPr>
        <w:tabs>
          <w:tab w:val="left" w:pos="540"/>
        </w:tabs>
        <w:snapToGrid w:val="0"/>
        <w:spacing w:line="400" w:lineRule="exact"/>
        <w:rPr>
          <w:rFonts w:cs="宋体" w:hAnsiTheme="minorEastAsia"/>
          <w:sz w:val="21"/>
          <w:szCs w:val="21"/>
        </w:rPr>
      </w:pPr>
      <w:r>
        <w:rPr>
          <w:rFonts w:hint="eastAsia" w:cs="宋体" w:hAnsiTheme="minorEastAsia"/>
          <w:sz w:val="21"/>
          <w:szCs w:val="21"/>
        </w:rPr>
        <w:t>6.法定代表人授权委托书（如有授权）；</w:t>
      </w:r>
    </w:p>
    <w:p>
      <w:pPr>
        <w:tabs>
          <w:tab w:val="left" w:pos="540"/>
        </w:tabs>
        <w:snapToGrid w:val="0"/>
        <w:spacing w:line="400" w:lineRule="exact"/>
        <w:rPr>
          <w:rFonts w:cs="宋体" w:hAnsiTheme="minorEastAsia"/>
          <w:sz w:val="21"/>
          <w:szCs w:val="21"/>
        </w:rPr>
      </w:pPr>
      <w:r>
        <w:rPr>
          <w:rFonts w:hint="eastAsia" w:cs="宋体" w:hAnsiTheme="minorEastAsia"/>
          <w:sz w:val="21"/>
          <w:szCs w:val="21"/>
        </w:rPr>
        <w:t>7.供应商法定代表人身份证复印件；</w:t>
      </w:r>
    </w:p>
    <w:p>
      <w:pPr>
        <w:tabs>
          <w:tab w:val="left" w:pos="540"/>
        </w:tabs>
        <w:snapToGrid w:val="0"/>
        <w:spacing w:line="400" w:lineRule="exact"/>
        <w:rPr>
          <w:rFonts w:cs="宋体" w:hAnsiTheme="minorEastAsia"/>
          <w:sz w:val="21"/>
          <w:szCs w:val="21"/>
        </w:rPr>
      </w:pPr>
      <w:r>
        <w:rPr>
          <w:rFonts w:hint="eastAsia" w:cs="宋体" w:hAnsiTheme="minorEastAsia"/>
          <w:sz w:val="21"/>
          <w:szCs w:val="21"/>
        </w:rPr>
        <w:t>8.供应商代理人身份证复印件（如有授权）；</w:t>
      </w:r>
    </w:p>
    <w:p>
      <w:pPr>
        <w:tabs>
          <w:tab w:val="left" w:pos="540"/>
        </w:tabs>
        <w:snapToGrid w:val="0"/>
        <w:spacing w:line="400" w:lineRule="exact"/>
        <w:rPr>
          <w:rFonts w:cs="宋体" w:hAnsiTheme="minorEastAsia"/>
          <w:kern w:val="0"/>
          <w:sz w:val="21"/>
          <w:szCs w:val="21"/>
        </w:rPr>
      </w:pPr>
      <w:r>
        <w:rPr>
          <w:rFonts w:hint="eastAsia" w:cs="宋体" w:hAnsiTheme="minorEastAsia"/>
          <w:kern w:val="0"/>
          <w:sz w:val="21"/>
          <w:szCs w:val="21"/>
        </w:rPr>
        <w:t>9.《中小企业声明函》及其附件资料（如有）；</w:t>
      </w:r>
    </w:p>
    <w:p>
      <w:pPr>
        <w:tabs>
          <w:tab w:val="left" w:pos="540"/>
        </w:tabs>
        <w:snapToGrid w:val="0"/>
        <w:spacing w:line="400" w:lineRule="exact"/>
        <w:rPr>
          <w:rFonts w:cs="宋体" w:hAnsiTheme="minorEastAsia"/>
          <w:kern w:val="0"/>
          <w:sz w:val="21"/>
          <w:szCs w:val="21"/>
        </w:rPr>
      </w:pPr>
      <w:r>
        <w:rPr>
          <w:rFonts w:hint="eastAsia" w:cs="宋体" w:hAnsiTheme="minorEastAsia"/>
          <w:kern w:val="0"/>
          <w:sz w:val="21"/>
          <w:szCs w:val="21"/>
        </w:rPr>
        <w:t>10.响应货物的数量、规格、品牌型号、技术指标说明与描述、质量要求、交货期说明；</w:t>
      </w:r>
    </w:p>
    <w:p>
      <w:pPr>
        <w:tabs>
          <w:tab w:val="left" w:pos="540"/>
        </w:tabs>
        <w:snapToGrid w:val="0"/>
        <w:spacing w:line="400" w:lineRule="exact"/>
        <w:rPr>
          <w:rFonts w:cs="宋体" w:hAnsiTheme="minorEastAsia"/>
          <w:kern w:val="0"/>
          <w:sz w:val="21"/>
          <w:szCs w:val="21"/>
        </w:rPr>
      </w:pPr>
      <w:r>
        <w:rPr>
          <w:rFonts w:hint="eastAsia" w:cs="宋体" w:hAnsiTheme="minorEastAsia"/>
          <w:kern w:val="0"/>
          <w:sz w:val="21"/>
          <w:szCs w:val="21"/>
        </w:rPr>
        <w:t>11.</w:t>
      </w:r>
      <w:r>
        <w:rPr>
          <w:rFonts w:cs="宋体" w:hAnsiTheme="minorEastAsia"/>
          <w:kern w:val="0"/>
          <w:sz w:val="21"/>
          <w:szCs w:val="21"/>
        </w:rPr>
        <w:t>投标单位需提供</w:t>
      </w:r>
      <w:r>
        <w:rPr>
          <w:rFonts w:hint="eastAsia" w:cs="宋体" w:hAnsiTheme="minorEastAsia"/>
          <w:kern w:val="0"/>
          <w:sz w:val="21"/>
          <w:szCs w:val="21"/>
        </w:rPr>
        <w:t>核心产品</w:t>
      </w:r>
      <w:r>
        <w:rPr>
          <w:rFonts w:cs="宋体" w:hAnsiTheme="minorEastAsia"/>
          <w:kern w:val="0"/>
          <w:sz w:val="21"/>
          <w:szCs w:val="21"/>
        </w:rPr>
        <w:t>（</w:t>
      </w:r>
      <w:r>
        <w:rPr>
          <w:rFonts w:hint="eastAsia"/>
          <w:sz w:val="21"/>
          <w:szCs w:val="21"/>
        </w:rPr>
        <w:t>终端</w:t>
      </w:r>
      <w:r>
        <w:rPr>
          <w:sz w:val="21"/>
          <w:szCs w:val="21"/>
        </w:rPr>
        <w:t>安全管理系统</w:t>
      </w:r>
      <w:r>
        <w:rPr>
          <w:rFonts w:hint="eastAsia"/>
          <w:sz w:val="21"/>
          <w:szCs w:val="21"/>
        </w:rPr>
        <w:t>和</w:t>
      </w:r>
      <w:r>
        <w:rPr>
          <w:sz w:val="21"/>
          <w:szCs w:val="21"/>
        </w:rPr>
        <w:t>服务器端安全管理系统</w:t>
      </w:r>
      <w:r>
        <w:rPr>
          <w:rFonts w:cs="宋体" w:hAnsiTheme="minorEastAsia"/>
          <w:kern w:val="0"/>
          <w:sz w:val="21"/>
          <w:szCs w:val="21"/>
        </w:rPr>
        <w:t>）原厂质确认的技术参数偏离表并加盖生产厂商公章</w:t>
      </w:r>
      <w:r>
        <w:rPr>
          <w:rFonts w:hint="eastAsia" w:cs="宋体" w:hAnsiTheme="minorEastAsia"/>
          <w:kern w:val="0"/>
          <w:sz w:val="21"/>
          <w:szCs w:val="21"/>
        </w:rPr>
        <w:t>；</w:t>
      </w:r>
    </w:p>
    <w:p>
      <w:pPr>
        <w:tabs>
          <w:tab w:val="left" w:pos="540"/>
        </w:tabs>
        <w:snapToGrid w:val="0"/>
        <w:spacing w:line="400" w:lineRule="exact"/>
        <w:rPr>
          <w:rFonts w:cs="宋体" w:hAnsiTheme="minorEastAsia"/>
          <w:kern w:val="0"/>
          <w:sz w:val="21"/>
          <w:szCs w:val="21"/>
        </w:rPr>
      </w:pPr>
      <w:r>
        <w:rPr>
          <w:rFonts w:hint="eastAsia" w:cs="宋体" w:hAnsiTheme="minorEastAsia"/>
          <w:kern w:val="0"/>
          <w:sz w:val="21"/>
          <w:szCs w:val="21"/>
        </w:rPr>
        <w:t>12.投标单位须提供清单中要求的功能截图、检测报告复印件、软件著作权复印件及其他要求提供的证明材料；</w:t>
      </w:r>
    </w:p>
    <w:p>
      <w:pPr>
        <w:tabs>
          <w:tab w:val="left" w:pos="540"/>
        </w:tabs>
        <w:snapToGrid w:val="0"/>
        <w:spacing w:line="400" w:lineRule="exact"/>
        <w:rPr>
          <w:rFonts w:hAnsiTheme="minorEastAsia"/>
          <w:sz w:val="21"/>
          <w:szCs w:val="21"/>
        </w:rPr>
      </w:pPr>
      <w:r>
        <w:rPr>
          <w:rFonts w:hint="eastAsia" w:hAnsiTheme="minorEastAsia"/>
          <w:sz w:val="21"/>
          <w:szCs w:val="21"/>
        </w:rPr>
        <w:t>13</w:t>
      </w:r>
      <w:r>
        <w:rPr>
          <w:rFonts w:hint="eastAsia" w:cs="宋体" w:hAnsiTheme="minorEastAsia"/>
          <w:kern w:val="0"/>
          <w:sz w:val="21"/>
          <w:szCs w:val="21"/>
        </w:rPr>
        <w:t>.</w:t>
      </w:r>
      <w:r>
        <w:rPr>
          <w:rFonts w:hint="eastAsia" w:hAnsiTheme="minorEastAsia"/>
          <w:sz w:val="21"/>
          <w:szCs w:val="21"/>
        </w:rPr>
        <w:t>产品质量保证期限和售后服务承诺（包括质保期、服务响应时间，设备维护方式和时间等）；</w:t>
      </w:r>
    </w:p>
    <w:p>
      <w:pPr>
        <w:tabs>
          <w:tab w:val="left" w:pos="540"/>
        </w:tabs>
        <w:snapToGrid w:val="0"/>
        <w:spacing w:line="400" w:lineRule="exact"/>
        <w:rPr>
          <w:rFonts w:hAnsiTheme="minorEastAsia"/>
          <w:sz w:val="21"/>
          <w:szCs w:val="21"/>
        </w:rPr>
      </w:pPr>
      <w:r>
        <w:rPr>
          <w:rFonts w:hAnsiTheme="minorEastAsia"/>
          <w:sz w:val="21"/>
          <w:szCs w:val="21"/>
        </w:rPr>
        <w:t>1</w:t>
      </w:r>
      <w:r>
        <w:rPr>
          <w:rFonts w:hint="eastAsia" w:hAnsiTheme="minorEastAsia"/>
          <w:sz w:val="21"/>
          <w:szCs w:val="21"/>
        </w:rPr>
        <w:t>4</w:t>
      </w:r>
      <w:r>
        <w:rPr>
          <w:rFonts w:hAnsiTheme="minorEastAsia"/>
          <w:sz w:val="21"/>
          <w:szCs w:val="21"/>
        </w:rPr>
        <w:t>.投标单位需提供</w:t>
      </w:r>
      <w:r>
        <w:rPr>
          <w:rFonts w:hint="eastAsia" w:hAnsiTheme="minorEastAsia"/>
          <w:sz w:val="21"/>
          <w:szCs w:val="21"/>
        </w:rPr>
        <w:t>核心产品</w:t>
      </w:r>
      <w:r>
        <w:rPr>
          <w:rFonts w:hAnsiTheme="minorEastAsia"/>
          <w:sz w:val="21"/>
          <w:szCs w:val="21"/>
        </w:rPr>
        <w:t>（</w:t>
      </w:r>
      <w:r>
        <w:rPr>
          <w:rFonts w:hint="eastAsia"/>
          <w:sz w:val="21"/>
          <w:szCs w:val="21"/>
        </w:rPr>
        <w:t>终端</w:t>
      </w:r>
      <w:r>
        <w:rPr>
          <w:sz w:val="21"/>
          <w:szCs w:val="21"/>
        </w:rPr>
        <w:t>安全管理系统</w:t>
      </w:r>
      <w:r>
        <w:rPr>
          <w:rFonts w:hint="eastAsia"/>
          <w:sz w:val="21"/>
          <w:szCs w:val="21"/>
        </w:rPr>
        <w:t>和</w:t>
      </w:r>
      <w:r>
        <w:rPr>
          <w:sz w:val="21"/>
          <w:szCs w:val="21"/>
        </w:rPr>
        <w:t>服务器端安全管理系统</w:t>
      </w:r>
      <w:r>
        <w:rPr>
          <w:rFonts w:hAnsiTheme="minorEastAsia"/>
          <w:sz w:val="21"/>
          <w:szCs w:val="21"/>
        </w:rPr>
        <w:t>）的原厂质保承诺</w:t>
      </w:r>
      <w:r>
        <w:rPr>
          <w:rFonts w:hAnsiTheme="minorEastAsia"/>
          <w:bCs/>
          <w:sz w:val="21"/>
          <w:szCs w:val="21"/>
        </w:rPr>
        <w:t>书并加盖生产厂商公章</w:t>
      </w:r>
      <w:r>
        <w:rPr>
          <w:rFonts w:hint="eastAsia" w:hAnsiTheme="minorEastAsia"/>
          <w:bCs/>
          <w:sz w:val="21"/>
          <w:szCs w:val="21"/>
        </w:rPr>
        <w:t>；</w:t>
      </w:r>
    </w:p>
    <w:p>
      <w:pPr>
        <w:tabs>
          <w:tab w:val="left" w:pos="540"/>
        </w:tabs>
        <w:snapToGrid w:val="0"/>
        <w:spacing w:line="400" w:lineRule="exact"/>
        <w:rPr>
          <w:rFonts w:cs="宋体" w:hAnsiTheme="minorEastAsia"/>
          <w:sz w:val="21"/>
          <w:szCs w:val="21"/>
        </w:rPr>
      </w:pPr>
      <w:r>
        <w:rPr>
          <w:rFonts w:hint="eastAsia" w:cs="宋体" w:hAnsiTheme="minorEastAsia"/>
          <w:sz w:val="21"/>
          <w:szCs w:val="21"/>
        </w:rPr>
        <w:t>15.与本次谈判有关的其他资料；</w:t>
      </w:r>
    </w:p>
    <w:p>
      <w:pPr>
        <w:tabs>
          <w:tab w:val="left" w:pos="540"/>
        </w:tabs>
        <w:snapToGrid w:val="0"/>
        <w:spacing w:line="400" w:lineRule="exact"/>
        <w:rPr>
          <w:rFonts w:cs="宋体" w:hAnsiTheme="minorEastAsia"/>
          <w:sz w:val="21"/>
          <w:szCs w:val="21"/>
        </w:rPr>
      </w:pPr>
      <w:r>
        <w:rPr>
          <w:rFonts w:cs="宋体" w:hAnsiTheme="minorEastAsia"/>
          <w:sz w:val="21"/>
          <w:szCs w:val="21"/>
        </w:rPr>
        <w:t>1</w:t>
      </w:r>
      <w:r>
        <w:rPr>
          <w:rFonts w:hint="eastAsia" w:cs="宋体" w:hAnsiTheme="minorEastAsia"/>
          <w:sz w:val="21"/>
          <w:szCs w:val="21"/>
        </w:rPr>
        <w:t>6.国家法律、法规所规定的其他资料。</w:t>
      </w:r>
    </w:p>
    <w:p>
      <w:pPr>
        <w:spacing w:line="400" w:lineRule="exact"/>
        <w:rPr>
          <w:rFonts w:cs="宋体" w:hAnsiTheme="minorEastAsia"/>
          <w:b w:val="0"/>
          <w:bCs/>
          <w:sz w:val="21"/>
          <w:szCs w:val="21"/>
        </w:rPr>
      </w:pPr>
      <w:r>
        <w:rPr>
          <w:rFonts w:hint="eastAsia" w:cs="宋体" w:hAnsiTheme="minorEastAsia"/>
          <w:b w:val="0"/>
          <w:bCs/>
          <w:sz w:val="21"/>
          <w:szCs w:val="21"/>
        </w:rPr>
        <w:t>注：供应商必须提交上述1-14款规定的资料。否则，响应文件将因资格条件不符或未实质响应谈判文件而被拒绝。</w:t>
      </w:r>
    </w:p>
    <w:p>
      <w:pPr>
        <w:spacing w:line="400" w:lineRule="exact"/>
        <w:rPr>
          <w:rFonts w:cs="宋体" w:hAnsiTheme="minorEastAsia"/>
          <w:bCs/>
        </w:rPr>
      </w:pPr>
    </w:p>
    <w:p>
      <w:pPr>
        <w:spacing w:line="400" w:lineRule="exact"/>
        <w:rPr>
          <w:rFonts w:cs="宋体" w:hAnsiTheme="minorEastAsia"/>
          <w:bCs/>
        </w:rPr>
      </w:pPr>
      <w:r>
        <w:rPr>
          <w:rFonts w:hint="eastAsia" w:cs="宋体" w:hAnsiTheme="minorEastAsia"/>
          <w:bCs/>
        </w:rPr>
        <w:t>六、谈判成交原则及评审内容：</w:t>
      </w:r>
    </w:p>
    <w:p>
      <w:pPr>
        <w:tabs>
          <w:tab w:val="left" w:pos="2870"/>
        </w:tabs>
        <w:spacing w:line="400" w:lineRule="exact"/>
        <w:ind w:firstLine="420"/>
        <w:rPr>
          <w:rFonts w:ascii="宋体" w:hAnsi="宋体" w:cs="宋体"/>
          <w:b w:val="0"/>
          <w:bCs/>
          <w:sz w:val="21"/>
          <w:szCs w:val="21"/>
        </w:rPr>
      </w:pPr>
      <w:r>
        <w:rPr>
          <w:rFonts w:hint="eastAsia" w:ascii="宋体" w:hAnsi="宋体" w:cs="宋体"/>
          <w:b w:val="0"/>
          <w:bCs/>
          <w:sz w:val="21"/>
          <w:szCs w:val="21"/>
        </w:rPr>
        <w:t>（一）谈判成交原则：</w:t>
      </w:r>
    </w:p>
    <w:p>
      <w:pPr>
        <w:numPr>
          <w:ilvl w:val="0"/>
          <w:numId w:val="4"/>
        </w:numPr>
        <w:tabs>
          <w:tab w:val="left" w:pos="540"/>
          <w:tab w:val="clear" w:pos="425"/>
        </w:tabs>
        <w:spacing w:line="400" w:lineRule="exact"/>
        <w:ind w:left="540" w:hanging="540"/>
        <w:rPr>
          <w:rFonts w:ascii="宋体" w:hAnsi="宋体" w:cs="宋体"/>
          <w:b w:val="0"/>
          <w:sz w:val="21"/>
          <w:szCs w:val="21"/>
        </w:rPr>
      </w:pPr>
      <w:r>
        <w:rPr>
          <w:rFonts w:hint="eastAsia" w:ascii="宋体" w:hAnsi="宋体" w:cs="宋体"/>
          <w:b w:val="0"/>
          <w:sz w:val="21"/>
          <w:szCs w:val="21"/>
        </w:rPr>
        <w:t>本次谈判采用最低评标价法，即在全部满足采购文件实质性要求即资格性和符合性评审合格的前提下，以提出最低报价（第二次报价）且不超过采购预算的谈判供应商作为成交供应商。</w:t>
      </w:r>
    </w:p>
    <w:p>
      <w:pPr>
        <w:numPr>
          <w:ilvl w:val="0"/>
          <w:numId w:val="4"/>
        </w:numPr>
        <w:tabs>
          <w:tab w:val="left" w:pos="540"/>
          <w:tab w:val="clear" w:pos="425"/>
        </w:tabs>
        <w:spacing w:line="400" w:lineRule="exact"/>
        <w:ind w:left="540" w:hanging="540"/>
        <w:rPr>
          <w:rFonts w:ascii="宋体" w:hAnsi="宋体" w:cs="宋体"/>
          <w:b w:val="0"/>
          <w:sz w:val="21"/>
          <w:szCs w:val="21"/>
        </w:rPr>
      </w:pPr>
      <w:r>
        <w:rPr>
          <w:rFonts w:hint="eastAsia" w:ascii="宋体" w:hAnsi="宋体" w:cs="宋体"/>
          <w:b w:val="0"/>
          <w:sz w:val="21"/>
          <w:szCs w:val="21"/>
        </w:rPr>
        <w:t>谈判小组各成员独立对谈判供应商的谈判响应文件按照谈判文件的规定和要求进行资格性和符合性评审，如评审内容条款均满足谈判文件要求的，则认为该供应商谈判文件评审合格。如某一条款内容评审不合格，评委须注明评审不合格原因。</w:t>
      </w:r>
    </w:p>
    <w:p>
      <w:pPr>
        <w:numPr>
          <w:ilvl w:val="0"/>
          <w:numId w:val="4"/>
        </w:numPr>
        <w:tabs>
          <w:tab w:val="left" w:pos="540"/>
          <w:tab w:val="clear" w:pos="425"/>
        </w:tabs>
        <w:spacing w:line="400" w:lineRule="exact"/>
        <w:ind w:left="540" w:hanging="540"/>
        <w:rPr>
          <w:rFonts w:ascii="宋体" w:hAnsi="宋体" w:cs="宋体"/>
          <w:b w:val="0"/>
          <w:sz w:val="21"/>
          <w:szCs w:val="21"/>
        </w:rPr>
      </w:pPr>
      <w:r>
        <w:rPr>
          <w:rFonts w:hint="eastAsia" w:ascii="宋体" w:hAnsi="宋体" w:cs="宋体"/>
          <w:b w:val="0"/>
          <w:sz w:val="21"/>
          <w:szCs w:val="21"/>
        </w:rPr>
        <w:t>谈判小组为3人，如某一评审条款出现评委意见不一致时，则按少数服从多数的原则，确定该项条款是否合格。在评审合格的响应文件中以提出最低报价的谈判供应商作为成交供应商。如出现两个或两个以上最终报价相同的谈判供应商，则由采购方以抽签方式确定成交供应商。</w:t>
      </w:r>
    </w:p>
    <w:p>
      <w:pPr>
        <w:numPr>
          <w:ilvl w:val="0"/>
          <w:numId w:val="4"/>
        </w:numPr>
        <w:tabs>
          <w:tab w:val="left" w:pos="540"/>
          <w:tab w:val="clear" w:pos="425"/>
        </w:tabs>
        <w:spacing w:line="400" w:lineRule="exact"/>
        <w:ind w:left="540" w:hanging="540"/>
        <w:rPr>
          <w:rFonts w:ascii="宋体" w:hAnsi="宋体" w:cs="宋体"/>
          <w:b w:val="0"/>
          <w:sz w:val="21"/>
          <w:szCs w:val="21"/>
        </w:rPr>
      </w:pPr>
      <w:r>
        <w:rPr>
          <w:rFonts w:hint="eastAsia" w:ascii="宋体" w:hAnsi="宋体" w:cs="宋体"/>
          <w:b w:val="0"/>
          <w:sz w:val="21"/>
          <w:szCs w:val="21"/>
        </w:rPr>
        <w:t>如谈判小组认为排在前面的成交候选供应商的最低报价或者某些分项报价明显不合理或者低于成本，有可能影响服务质量或不能诚信履约的，则谈判小组有权要求其在规定的期限内提供书面文件予以解释说明，并提交相关证明材料；否则，谈判小组可以取消该供应商的成交候选资格，按顺序由排在后面的成交候选供应商递补，以此类推。</w:t>
      </w:r>
    </w:p>
    <w:p>
      <w:pPr>
        <w:numPr>
          <w:ilvl w:val="0"/>
          <w:numId w:val="4"/>
        </w:numPr>
        <w:tabs>
          <w:tab w:val="left" w:pos="540"/>
          <w:tab w:val="clear" w:pos="425"/>
        </w:tabs>
        <w:spacing w:line="400" w:lineRule="exact"/>
        <w:ind w:left="540" w:hanging="540"/>
        <w:rPr>
          <w:rFonts w:ascii="宋体" w:hAnsi="宋体" w:cs="宋体"/>
          <w:b w:val="0"/>
          <w:sz w:val="21"/>
          <w:szCs w:val="21"/>
        </w:rPr>
      </w:pPr>
      <w:r>
        <w:rPr>
          <w:rFonts w:hint="eastAsia" w:ascii="宋体" w:hAnsi="宋体" w:cs="宋体"/>
          <w:b w:val="0"/>
          <w:sz w:val="21"/>
          <w:szCs w:val="21"/>
        </w:rPr>
        <w:t>针对中小型企业的评审加分：</w:t>
      </w:r>
    </w:p>
    <w:p>
      <w:pPr>
        <w:spacing w:line="400" w:lineRule="exact"/>
        <w:ind w:firstLine="420" w:firstLineChars="200"/>
        <w:outlineLvl w:val="0"/>
        <w:rPr>
          <w:rFonts w:ascii="宋体" w:hAnsi="宋体" w:cs="宋体"/>
          <w:b w:val="0"/>
          <w:sz w:val="21"/>
          <w:szCs w:val="21"/>
        </w:rPr>
      </w:pPr>
      <w:r>
        <w:rPr>
          <w:rFonts w:hint="eastAsia" w:ascii="宋体" w:hAnsi="宋体" w:cs="宋体"/>
          <w:b w:val="0"/>
          <w:sz w:val="21"/>
          <w:szCs w:val="21"/>
        </w:rPr>
        <w:t>1.根据财政部、工业和信息化部关于印发意见“财库〔2011〕181号”关于印发《政府采购促进中小企业发展暂行办法》的通知规定，对属于小型、微型企业的投标人给予评审加分：</w:t>
      </w:r>
    </w:p>
    <w:p>
      <w:pPr>
        <w:spacing w:line="400" w:lineRule="exact"/>
        <w:ind w:firstLine="420" w:firstLineChars="200"/>
        <w:outlineLvl w:val="0"/>
        <w:rPr>
          <w:rFonts w:ascii="宋体" w:hAnsi="宋体" w:cs="宋体"/>
          <w:b w:val="0"/>
          <w:sz w:val="21"/>
          <w:szCs w:val="21"/>
        </w:rPr>
      </w:pPr>
      <w:r>
        <w:rPr>
          <w:rFonts w:hint="eastAsia" w:ascii="宋体" w:hAnsi="宋体" w:cs="宋体"/>
          <w:b w:val="0"/>
          <w:sz w:val="21"/>
          <w:szCs w:val="21"/>
        </w:rPr>
        <w:t>如投标人（或生产企业）认定本企业为小型或微型企业，则需根据“工信部联企业〔2011〕300号”通知中的《中小企业划型标准规定》填报“中小企业声明函” ，提供企业注册地经信部门出具的中小微企业认定书，或签署《中小企业声明函》附带最新一期的企业纳税证明、社保缴纳证明，证实企业的规模类型。未在响应文件中提供中小微企业认定书或《中小企业声明函》及附件资料的，不享受促进中小微企业发展的相关政府采购政策。</w:t>
      </w:r>
    </w:p>
    <w:p>
      <w:pPr>
        <w:spacing w:line="400" w:lineRule="exact"/>
        <w:ind w:firstLine="420" w:firstLineChars="200"/>
        <w:outlineLvl w:val="0"/>
        <w:rPr>
          <w:rFonts w:ascii="宋体" w:hAnsi="宋体" w:cs="宋体"/>
          <w:b w:val="0"/>
          <w:sz w:val="21"/>
          <w:szCs w:val="21"/>
        </w:rPr>
      </w:pPr>
      <w:r>
        <w:rPr>
          <w:rFonts w:hint="eastAsia" w:ascii="宋体" w:hAnsi="宋体" w:cs="宋体"/>
          <w:b w:val="0"/>
          <w:sz w:val="21"/>
          <w:szCs w:val="21"/>
        </w:rPr>
        <w:t>根据“中小企业声明函”及提供的认定证明中所确定的企业性质，如投标人（或生产企业）属于小型企业，且提供自有服务或货物的，对其报价给予10%的扣除；如投标人（或生产企业）属于微型企业，且提供自有服务或货物的，对其报价给予10%的扣除；扣除后的价格参与价格评审。</w:t>
      </w:r>
    </w:p>
    <w:p>
      <w:pPr>
        <w:spacing w:line="400" w:lineRule="exact"/>
        <w:ind w:firstLine="420" w:firstLineChars="200"/>
        <w:outlineLvl w:val="0"/>
        <w:rPr>
          <w:rFonts w:ascii="宋体" w:hAnsi="宋体" w:cs="宋体"/>
          <w:b w:val="0"/>
          <w:sz w:val="21"/>
          <w:szCs w:val="21"/>
          <w:u w:val="single"/>
        </w:rPr>
      </w:pPr>
      <w:r>
        <w:rPr>
          <w:rFonts w:hint="eastAsia" w:ascii="宋体" w:hAnsi="宋体" w:cs="宋体"/>
          <w:b w:val="0"/>
          <w:sz w:val="21"/>
          <w:szCs w:val="21"/>
          <w:u w:val="single"/>
        </w:rPr>
        <w:t>注：</w:t>
      </w:r>
    </w:p>
    <w:p>
      <w:pPr>
        <w:spacing w:line="400" w:lineRule="exact"/>
        <w:ind w:left="420"/>
        <w:outlineLvl w:val="0"/>
        <w:rPr>
          <w:rFonts w:ascii="宋体" w:hAnsi="宋体" w:cs="宋体"/>
          <w:b w:val="0"/>
          <w:sz w:val="21"/>
          <w:szCs w:val="21"/>
          <w:u w:val="single"/>
        </w:rPr>
      </w:pPr>
      <w:r>
        <w:rPr>
          <w:rFonts w:hint="eastAsia" w:ascii="宋体" w:hAnsi="宋体" w:cs="宋体"/>
          <w:b w:val="0"/>
          <w:sz w:val="21"/>
          <w:szCs w:val="21"/>
        </w:rPr>
        <w:fldChar w:fldCharType="begin"/>
      </w:r>
      <w:r>
        <w:rPr>
          <w:rFonts w:hint="eastAsia" w:ascii="宋体" w:hAnsi="宋体" w:cs="宋体"/>
          <w:b w:val="0"/>
          <w:sz w:val="21"/>
          <w:szCs w:val="21"/>
        </w:rPr>
        <w:instrText xml:space="preserve"> = 1 \* GB3 </w:instrText>
      </w:r>
      <w:r>
        <w:rPr>
          <w:rFonts w:hint="eastAsia" w:ascii="宋体" w:hAnsi="宋体" w:cs="宋体"/>
          <w:b w:val="0"/>
          <w:sz w:val="21"/>
          <w:szCs w:val="21"/>
        </w:rPr>
        <w:fldChar w:fldCharType="separate"/>
      </w:r>
      <w:r>
        <w:rPr>
          <w:rFonts w:hint="eastAsia" w:ascii="宋体" w:hAnsi="宋体" w:cs="宋体"/>
          <w:b w:val="0"/>
          <w:sz w:val="21"/>
          <w:szCs w:val="21"/>
        </w:rPr>
        <w:t>①</w:t>
      </w:r>
      <w:r>
        <w:rPr>
          <w:rFonts w:hint="eastAsia" w:ascii="宋体" w:hAnsi="宋体" w:cs="宋体"/>
          <w:b w:val="0"/>
          <w:sz w:val="21"/>
          <w:szCs w:val="21"/>
        </w:rPr>
        <w:fldChar w:fldCharType="end"/>
      </w:r>
      <w:r>
        <w:rPr>
          <w:rFonts w:hint="eastAsia" w:ascii="宋体" w:hAnsi="宋体" w:cs="宋体"/>
          <w:b w:val="0"/>
          <w:sz w:val="21"/>
          <w:szCs w:val="21"/>
          <w:u w:val="single"/>
        </w:rPr>
        <w:t>报“中小企业声明函”需严格按“工信部联企业〔2011〕300号通知中的《中小企业划型标准规定》进行。</w:t>
      </w:r>
    </w:p>
    <w:p>
      <w:pPr>
        <w:spacing w:line="400" w:lineRule="exact"/>
        <w:ind w:firstLine="420" w:firstLineChars="200"/>
        <w:rPr>
          <w:rFonts w:ascii="宋体" w:hAnsi="宋体" w:cs="宋体"/>
          <w:b w:val="0"/>
          <w:sz w:val="21"/>
          <w:szCs w:val="21"/>
          <w:u w:val="single"/>
        </w:rPr>
      </w:pPr>
      <w:r>
        <w:rPr>
          <w:rFonts w:hint="eastAsia" w:ascii="宋体" w:hAnsi="宋体" w:cs="宋体"/>
          <w:b w:val="0"/>
          <w:sz w:val="21"/>
          <w:szCs w:val="21"/>
          <w:u w:val="single"/>
        </w:rPr>
        <w:t>②若投标人提供的 “中小企业声明函” 或认定证明为虚假声明则视同提供虚假材料，按“政府采购法”相关规定处理并报请政府监管部门给予行政处罚。</w:t>
      </w:r>
    </w:p>
    <w:p>
      <w:pPr>
        <w:pStyle w:val="5"/>
        <w:widowControl w:val="0"/>
        <w:adjustRightInd w:val="0"/>
        <w:snapToGrid w:val="0"/>
        <w:spacing w:before="0" w:after="0" w:line="400" w:lineRule="exact"/>
        <w:ind w:firstLine="396" w:firstLineChars="200"/>
        <w:jc w:val="both"/>
        <w:rPr>
          <w:snapToGrid w:val="0"/>
          <w:spacing w:val="-6"/>
          <w:sz w:val="21"/>
          <w:szCs w:val="21"/>
        </w:rPr>
      </w:pPr>
      <w:r>
        <w:rPr>
          <w:rFonts w:hint="eastAsia"/>
          <w:snapToGrid w:val="0"/>
          <w:spacing w:val="-6"/>
          <w:sz w:val="21"/>
          <w:szCs w:val="21"/>
        </w:rPr>
        <w:t>2. 政府采购促进残疾人就业政策</w:t>
      </w:r>
    </w:p>
    <w:p>
      <w:pPr>
        <w:adjustRightInd w:val="0"/>
        <w:snapToGrid w:val="0"/>
        <w:spacing w:line="400" w:lineRule="exact"/>
        <w:ind w:firstLine="315" w:firstLineChars="150"/>
        <w:rPr>
          <w:rFonts w:ascii="宋体" w:hAnsi="宋体" w:cs="宋体"/>
          <w:b w:val="0"/>
          <w:snapToGrid w:val="0"/>
          <w:spacing w:val="-6"/>
          <w:kern w:val="0"/>
          <w:sz w:val="21"/>
          <w:szCs w:val="21"/>
        </w:rPr>
      </w:pPr>
      <w:r>
        <w:rPr>
          <w:rFonts w:hint="eastAsia" w:ascii="宋体" w:hAnsi="宋体" w:cs="宋体"/>
          <w:b w:val="0"/>
          <w:sz w:val="21"/>
          <w:szCs w:val="21"/>
        </w:rPr>
        <w:t>（1）</w:t>
      </w:r>
      <w:r>
        <w:rPr>
          <w:rFonts w:hint="eastAsia" w:ascii="宋体" w:hAnsi="宋体" w:cs="宋体"/>
          <w:b w:val="0"/>
          <w:snapToGrid w:val="0"/>
          <w:spacing w:val="-6"/>
          <w:kern w:val="0"/>
          <w:sz w:val="21"/>
          <w:szCs w:val="21"/>
        </w:rPr>
        <w:t>在政府采购活动中，残疾人福利性单位视同小型、微型企业，享受评审中价格扣除等促进中小企业发展的政府采购政策。向残疾人福利性单位采购的金额，计入面向中小企业采购的统计数据。残疾人福利性单位属于小型、微型企业的，不重复享受政策。</w:t>
      </w:r>
    </w:p>
    <w:p>
      <w:pPr>
        <w:adjustRightInd w:val="0"/>
        <w:snapToGrid w:val="0"/>
        <w:spacing w:line="400" w:lineRule="exact"/>
        <w:ind w:firstLine="315" w:firstLineChars="150"/>
        <w:rPr>
          <w:rFonts w:ascii="宋体" w:hAnsi="宋体" w:cs="宋体"/>
          <w:b w:val="0"/>
          <w:snapToGrid w:val="0"/>
          <w:kern w:val="0"/>
          <w:sz w:val="21"/>
          <w:szCs w:val="21"/>
        </w:rPr>
      </w:pPr>
      <w:r>
        <w:rPr>
          <w:rFonts w:hint="eastAsia" w:ascii="宋体" w:hAnsi="宋体" w:cs="宋体"/>
          <w:b w:val="0"/>
          <w:sz w:val="21"/>
          <w:szCs w:val="21"/>
        </w:rPr>
        <w:t>（2）</w:t>
      </w:r>
      <w:r>
        <w:rPr>
          <w:rFonts w:hint="eastAsia" w:ascii="宋体" w:hAnsi="宋体" w:cs="宋体"/>
          <w:b w:val="0"/>
          <w:snapToGrid w:val="0"/>
          <w:kern w:val="0"/>
          <w:sz w:val="21"/>
          <w:szCs w:val="21"/>
        </w:rPr>
        <w:t>符合《关于促进残疾人就业政府采购政策的通知》（财库〔2017〕141号）规定条件的残疾人福利性单位在参加政府采购活动时，应当提供《残疾人福利性单位声明函》（见附件），并对声明的真实性负责。任何单位或者个人在政府采购活动中均不得要求残疾人福利性单位提供其他证明声明函内容的材料。供应商提供的《残疾人福利性单位声明函》与事实不符的，依照《政府采购法》第七十七条第一款的规定追究法律责任。</w:t>
      </w:r>
    </w:p>
    <w:p>
      <w:pPr>
        <w:adjustRightInd w:val="0"/>
        <w:snapToGrid w:val="0"/>
        <w:spacing w:line="400" w:lineRule="exact"/>
        <w:ind w:firstLine="315" w:firstLineChars="150"/>
        <w:rPr>
          <w:rFonts w:ascii="宋体" w:hAnsi="宋体" w:cs="宋体"/>
          <w:b w:val="0"/>
          <w:snapToGrid w:val="0"/>
          <w:kern w:val="0"/>
          <w:sz w:val="21"/>
          <w:szCs w:val="21"/>
        </w:rPr>
      </w:pPr>
      <w:r>
        <w:rPr>
          <w:rFonts w:hint="eastAsia" w:ascii="宋体" w:hAnsi="宋体" w:cs="宋体"/>
          <w:b w:val="0"/>
          <w:snapToGrid w:val="0"/>
          <w:kern w:val="0"/>
          <w:sz w:val="21"/>
          <w:szCs w:val="21"/>
        </w:rPr>
        <w:t>（3）中标 供应商为残疾人福利性单位的，采购人或者其委托的采购代理机构应当随中标、成交结果同时公告其《残疾人福利性单位声明函》，接受社会监督。</w:t>
      </w:r>
    </w:p>
    <w:p>
      <w:pPr>
        <w:pStyle w:val="5"/>
        <w:widowControl w:val="0"/>
        <w:adjustRightInd w:val="0"/>
        <w:snapToGrid w:val="0"/>
        <w:spacing w:before="0" w:after="0" w:line="400" w:lineRule="exact"/>
        <w:ind w:firstLine="420" w:firstLineChars="200"/>
        <w:jc w:val="both"/>
        <w:rPr>
          <w:snapToGrid w:val="0"/>
          <w:sz w:val="21"/>
          <w:szCs w:val="21"/>
        </w:rPr>
      </w:pPr>
      <w:r>
        <w:rPr>
          <w:rFonts w:hint="eastAsia"/>
          <w:snapToGrid w:val="0"/>
          <w:sz w:val="21"/>
          <w:szCs w:val="21"/>
        </w:rPr>
        <w:t>3.政府采购支持监狱企业发展政策</w:t>
      </w:r>
    </w:p>
    <w:p>
      <w:pPr>
        <w:adjustRightInd w:val="0"/>
        <w:snapToGrid w:val="0"/>
        <w:spacing w:line="400" w:lineRule="exact"/>
        <w:ind w:firstLine="315" w:firstLineChars="150"/>
        <w:rPr>
          <w:rFonts w:ascii="宋体" w:hAnsi="宋体" w:cs="宋体"/>
          <w:b w:val="0"/>
          <w:snapToGrid w:val="0"/>
          <w:kern w:val="0"/>
          <w:sz w:val="21"/>
          <w:szCs w:val="21"/>
        </w:rPr>
      </w:pPr>
      <w:r>
        <w:rPr>
          <w:rFonts w:hint="eastAsia" w:ascii="宋体" w:hAnsi="宋体" w:cs="宋体"/>
          <w:b w:val="0"/>
          <w:bCs/>
          <w:snapToGrid w:val="0"/>
          <w:kern w:val="0"/>
          <w:sz w:val="21"/>
          <w:szCs w:val="21"/>
        </w:rPr>
        <w:t>（1）</w:t>
      </w:r>
      <w:r>
        <w:rPr>
          <w:rFonts w:hint="eastAsia" w:ascii="宋体" w:hAnsi="宋体" w:cs="宋体"/>
          <w:b w:val="0"/>
          <w:snapToGrid w:val="0"/>
          <w:kern w:val="0"/>
          <w:sz w:val="21"/>
          <w:szCs w:val="21"/>
        </w:rPr>
        <w:t>在政府采购活动中，监狱企业视同小型、微型企业，享受评审中价格扣除等政府采购促进中小企业发展的政府采购政策。向监狱企业采购的金额，计入面向中小企业采购的统计数据。</w:t>
      </w:r>
    </w:p>
    <w:p>
      <w:pPr>
        <w:spacing w:line="400" w:lineRule="exact"/>
        <w:ind w:firstLine="420" w:firstLineChars="200"/>
        <w:rPr>
          <w:rFonts w:ascii="宋体" w:hAnsi="宋体" w:cs="宋体"/>
          <w:b w:val="0"/>
          <w:sz w:val="21"/>
          <w:szCs w:val="21"/>
        </w:rPr>
      </w:pPr>
      <w:r>
        <w:rPr>
          <w:rFonts w:hint="eastAsia" w:ascii="宋体" w:hAnsi="宋体" w:cs="宋体"/>
          <w:b w:val="0"/>
          <w:snapToGrid w:val="0"/>
          <w:kern w:val="0"/>
          <w:sz w:val="21"/>
          <w:szCs w:val="21"/>
        </w:rPr>
        <w:t>（2）符合《关于政府采购支持监狱企业发展有关问题的通知》（财库〔2014〕68号）条件的监狱企业参加政府采购活动时，应当提供由省级以上监狱管理局、戒毒管理局（含新疆生产建设兵团）出具的属于监狱企业的证明文件。</w:t>
      </w:r>
    </w:p>
    <w:p>
      <w:pPr>
        <w:tabs>
          <w:tab w:val="left" w:pos="2870"/>
        </w:tabs>
        <w:spacing w:line="440" w:lineRule="exact"/>
        <w:ind w:firstLine="420" w:firstLineChars="200"/>
        <w:rPr>
          <w:rFonts w:ascii="宋体" w:hAnsi="宋体" w:cs="宋体"/>
          <w:b w:val="0"/>
          <w:bCs/>
          <w:sz w:val="21"/>
          <w:szCs w:val="21"/>
        </w:rPr>
      </w:pPr>
      <w:r>
        <w:rPr>
          <w:rFonts w:hint="eastAsia" w:ascii="宋体" w:hAnsi="宋体" w:cs="宋体"/>
          <w:b w:val="0"/>
          <w:bCs/>
          <w:sz w:val="21"/>
          <w:szCs w:val="21"/>
        </w:rPr>
        <w:t>4.信用记录</w:t>
      </w:r>
    </w:p>
    <w:p>
      <w:pPr>
        <w:spacing w:line="400" w:lineRule="exact"/>
        <w:ind w:left="420"/>
        <w:rPr>
          <w:rFonts w:ascii="宋体" w:hAnsi="宋体" w:cs="宋体"/>
          <w:b w:val="0"/>
          <w:sz w:val="21"/>
          <w:szCs w:val="21"/>
        </w:rPr>
      </w:pPr>
      <w:r>
        <w:rPr>
          <w:rFonts w:hint="eastAsia" w:ascii="宋体" w:hAnsi="宋体" w:cs="宋体"/>
          <w:b w:val="0"/>
          <w:bCs/>
          <w:sz w:val="21"/>
          <w:szCs w:val="21"/>
        </w:rPr>
        <w:t xml:space="preserve">  </w:t>
      </w:r>
      <w:r>
        <w:rPr>
          <w:rFonts w:hint="eastAsia" w:ascii="宋体" w:hAnsi="宋体" w:cs="宋体"/>
          <w:b w:val="0"/>
          <w:sz w:val="21"/>
          <w:szCs w:val="21"/>
        </w:rPr>
        <w:t>根据政府采购法及相关法规，以及苏州市财政局《关于印发苏州市市级政府采购信用记录查询和使用工作试行办法的通知》（苏财购（2017）11号）文件的规定，招标采购单位将依法对供应商进行信用查询，凡经评审小组确认不符合政府采购相关法律法规规定的，将拒绝其参与政府采购活动。</w:t>
      </w:r>
    </w:p>
    <w:p>
      <w:pPr>
        <w:spacing w:line="400" w:lineRule="exact"/>
        <w:ind w:left="420"/>
        <w:rPr>
          <w:rFonts w:ascii="宋体" w:hAnsi="宋体" w:cs="宋体"/>
          <w:b w:val="0"/>
          <w:sz w:val="21"/>
          <w:szCs w:val="21"/>
        </w:rPr>
      </w:pPr>
      <w:r>
        <w:rPr>
          <w:rFonts w:hint="eastAsia" w:ascii="宋体" w:hAnsi="宋体" w:cs="宋体"/>
          <w:b w:val="0"/>
          <w:sz w:val="21"/>
          <w:szCs w:val="21"/>
        </w:rPr>
        <w:t>（1）查询截止时点：响应文件递交截止时间。</w:t>
      </w:r>
    </w:p>
    <w:p>
      <w:pPr>
        <w:spacing w:line="400" w:lineRule="exact"/>
        <w:ind w:left="420"/>
        <w:rPr>
          <w:rFonts w:ascii="宋体" w:hAnsi="宋体" w:cs="宋体"/>
          <w:b w:val="0"/>
          <w:sz w:val="21"/>
          <w:szCs w:val="21"/>
        </w:rPr>
      </w:pPr>
      <w:r>
        <w:rPr>
          <w:rFonts w:hint="eastAsia" w:ascii="宋体" w:hAnsi="宋体" w:cs="宋体"/>
          <w:b w:val="0"/>
          <w:sz w:val="21"/>
          <w:szCs w:val="21"/>
        </w:rPr>
        <w:t>（2）查询渠道：</w:t>
      </w:r>
    </w:p>
    <w:p>
      <w:pPr>
        <w:spacing w:line="400" w:lineRule="exact"/>
        <w:ind w:left="420" w:firstLine="315" w:firstLineChars="150"/>
        <w:rPr>
          <w:rFonts w:ascii="宋体" w:hAnsi="宋体" w:cs="宋体"/>
          <w:b w:val="0"/>
          <w:sz w:val="21"/>
          <w:szCs w:val="21"/>
        </w:rPr>
      </w:pPr>
      <w:r>
        <w:rPr>
          <w:rFonts w:hint="eastAsia" w:ascii="宋体" w:hAnsi="宋体" w:cs="宋体"/>
          <w:b w:val="0"/>
          <w:sz w:val="21"/>
          <w:szCs w:val="21"/>
        </w:rPr>
        <w:t>统一登录苏州市政府采购网的“供应商信用查询”系统查询供应商的信用记录。苏州市政府采购网“供应商信用查询”系统实时提供来自中国政府采购网、信用中国、信用江苏、诚信苏州网站的相关主体信用记录。</w:t>
      </w:r>
    </w:p>
    <w:p>
      <w:pPr>
        <w:spacing w:line="400" w:lineRule="exact"/>
        <w:ind w:left="420"/>
        <w:rPr>
          <w:rFonts w:ascii="宋体" w:hAnsi="宋体" w:cs="宋体"/>
          <w:b w:val="0"/>
          <w:sz w:val="21"/>
          <w:szCs w:val="21"/>
        </w:rPr>
      </w:pPr>
      <w:r>
        <w:rPr>
          <w:rFonts w:hint="eastAsia" w:ascii="宋体" w:hAnsi="宋体" w:cs="宋体"/>
          <w:b w:val="0"/>
          <w:sz w:val="21"/>
          <w:szCs w:val="21"/>
        </w:rPr>
        <w:t>（3）查询证据留存方式：</w:t>
      </w:r>
    </w:p>
    <w:p>
      <w:pPr>
        <w:spacing w:line="400" w:lineRule="exact"/>
        <w:ind w:left="420" w:firstLine="315" w:firstLineChars="150"/>
        <w:rPr>
          <w:rFonts w:ascii="宋体" w:hAnsi="宋体" w:cs="宋体"/>
          <w:b w:val="0"/>
          <w:sz w:val="21"/>
          <w:szCs w:val="21"/>
        </w:rPr>
      </w:pPr>
      <w:r>
        <w:rPr>
          <w:rFonts w:hint="eastAsia" w:ascii="宋体" w:hAnsi="宋体" w:cs="宋体"/>
          <w:b w:val="0"/>
          <w:sz w:val="21"/>
          <w:szCs w:val="21"/>
        </w:rPr>
        <w:t>对存在失信信息的供应商，评审小组填写《苏州市级政府采购供应商失信信息确认函》，由失信供应商应签名确认。同时，采购代理机构工作人员根据评审小组确认的失信信息，登陆到来源网站页面进行复核并打印，作为证据留存。</w:t>
      </w:r>
    </w:p>
    <w:p>
      <w:pPr>
        <w:pStyle w:val="11"/>
        <w:spacing w:before="57" w:line="240" w:lineRule="exact"/>
        <w:ind w:left="480" w:firstLine="0" w:firstLineChars="0"/>
        <w:rPr>
          <w:rFonts w:cs="宋体"/>
          <w:b w:val="0"/>
          <w:kern w:val="2"/>
          <w:sz w:val="21"/>
          <w:szCs w:val="21"/>
        </w:rPr>
      </w:pPr>
      <w:r>
        <w:rPr>
          <w:rFonts w:hint="eastAsia" w:cs="宋体"/>
          <w:b w:val="0"/>
          <w:kern w:val="2"/>
          <w:sz w:val="21"/>
          <w:szCs w:val="21"/>
        </w:rPr>
        <w:t>（4）信用记录使用规则：</w:t>
      </w:r>
    </w:p>
    <w:p>
      <w:pPr>
        <w:tabs>
          <w:tab w:val="left" w:pos="540"/>
        </w:tabs>
        <w:spacing w:line="400" w:lineRule="exact"/>
        <w:ind w:left="540"/>
        <w:rPr>
          <w:rFonts w:ascii="宋体" w:hAnsi="宋体" w:cs="宋体"/>
          <w:b w:val="0"/>
          <w:sz w:val="21"/>
          <w:szCs w:val="21"/>
        </w:rPr>
      </w:pPr>
      <w:r>
        <w:rPr>
          <w:rFonts w:hint="eastAsia" w:ascii="宋体" w:hAnsi="宋体" w:cs="宋体"/>
          <w:b w:val="0"/>
          <w:sz w:val="21"/>
          <w:szCs w:val="21"/>
        </w:rPr>
        <w:t>评审小组在对供应商进行资格性审查时，根据查询结果对供应商的不良信用记录逐项甄别确认。</w:t>
      </w:r>
    </w:p>
    <w:p>
      <w:pPr>
        <w:tabs>
          <w:tab w:val="left" w:pos="2870"/>
        </w:tabs>
        <w:spacing w:line="440" w:lineRule="exact"/>
        <w:ind w:firstLine="420"/>
        <w:rPr>
          <w:rFonts w:ascii="宋体" w:hAnsi="宋体" w:cs="宋体"/>
          <w:b w:val="0"/>
          <w:bCs/>
          <w:sz w:val="21"/>
          <w:szCs w:val="21"/>
        </w:rPr>
      </w:pPr>
      <w:r>
        <w:rPr>
          <w:rFonts w:hint="eastAsia" w:ascii="宋体" w:hAnsi="宋体" w:cs="宋体"/>
          <w:b w:val="0"/>
          <w:bCs/>
          <w:sz w:val="21"/>
          <w:szCs w:val="21"/>
        </w:rPr>
        <w:t>（二）评审内容：</w:t>
      </w:r>
    </w:p>
    <w:tbl>
      <w:tblPr>
        <w:tblStyle w:val="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65"/>
        <w:gridCol w:w="5194"/>
        <w:gridCol w:w="1951"/>
        <w:gridCol w:w="161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5" w:type="dxa"/>
            <w:vAlign w:val="center"/>
          </w:tcPr>
          <w:p>
            <w:pPr>
              <w:snapToGrid w:val="0"/>
              <w:spacing w:line="320" w:lineRule="exact"/>
              <w:jc w:val="center"/>
              <w:rPr>
                <w:rFonts w:ascii="宋体" w:hAnsi="宋体" w:cs="宋体"/>
                <w:kern w:val="0"/>
                <w:sz w:val="24"/>
                <w:szCs w:val="24"/>
              </w:rPr>
            </w:pPr>
            <w:r>
              <w:rPr>
                <w:rFonts w:hint="eastAsia" w:ascii="宋体" w:hAnsi="宋体" w:cs="宋体"/>
                <w:kern w:val="0"/>
                <w:sz w:val="24"/>
                <w:szCs w:val="24"/>
              </w:rPr>
              <w:t>序号</w:t>
            </w:r>
          </w:p>
        </w:tc>
        <w:tc>
          <w:tcPr>
            <w:tcW w:w="5194" w:type="dxa"/>
            <w:vAlign w:val="center"/>
          </w:tcPr>
          <w:p>
            <w:pPr>
              <w:snapToGrid w:val="0"/>
              <w:spacing w:line="320" w:lineRule="exact"/>
              <w:jc w:val="center"/>
              <w:rPr>
                <w:rFonts w:ascii="宋体" w:hAnsi="宋体" w:cs="宋体"/>
                <w:kern w:val="0"/>
                <w:sz w:val="24"/>
                <w:szCs w:val="24"/>
              </w:rPr>
            </w:pPr>
            <w:r>
              <w:rPr>
                <w:rFonts w:hint="eastAsia" w:ascii="宋体" w:hAnsi="宋体" w:cs="宋体"/>
                <w:kern w:val="0"/>
                <w:sz w:val="24"/>
                <w:szCs w:val="24"/>
              </w:rPr>
              <w:t>评审内容</w:t>
            </w:r>
          </w:p>
        </w:tc>
        <w:tc>
          <w:tcPr>
            <w:tcW w:w="1951" w:type="dxa"/>
            <w:vAlign w:val="center"/>
          </w:tcPr>
          <w:p>
            <w:pPr>
              <w:snapToGrid w:val="0"/>
              <w:spacing w:line="320" w:lineRule="exact"/>
              <w:rPr>
                <w:rFonts w:ascii="宋体" w:hAnsi="宋体" w:cs="宋体"/>
                <w:kern w:val="0"/>
                <w:sz w:val="24"/>
                <w:szCs w:val="24"/>
              </w:rPr>
            </w:pPr>
            <w:r>
              <w:rPr>
                <w:rFonts w:hint="eastAsia" w:ascii="宋体" w:hAnsi="宋体" w:cs="宋体"/>
                <w:kern w:val="0"/>
                <w:sz w:val="24"/>
                <w:szCs w:val="24"/>
              </w:rPr>
              <w:t>评审是否合格（填“是”或“否”）</w:t>
            </w:r>
          </w:p>
        </w:tc>
        <w:tc>
          <w:tcPr>
            <w:tcW w:w="1614" w:type="dxa"/>
            <w:vAlign w:val="center"/>
          </w:tcPr>
          <w:p>
            <w:pPr>
              <w:snapToGrid w:val="0"/>
              <w:spacing w:line="320" w:lineRule="exact"/>
              <w:jc w:val="center"/>
              <w:rPr>
                <w:rFonts w:ascii="宋体" w:hAnsi="宋体" w:cs="宋体"/>
                <w:kern w:val="0"/>
                <w:sz w:val="24"/>
                <w:szCs w:val="24"/>
              </w:rPr>
            </w:pPr>
            <w:r>
              <w:rPr>
                <w:rFonts w:hint="eastAsia" w:ascii="宋体" w:hAnsi="宋体" w:cs="宋体"/>
                <w:kern w:val="0"/>
                <w:sz w:val="24"/>
                <w:szCs w:val="24"/>
              </w:rPr>
              <w:t>不合格原因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5" w:type="dxa"/>
            <w:vAlign w:val="center"/>
          </w:tcPr>
          <w:p>
            <w:pPr>
              <w:snapToGrid w:val="0"/>
              <w:spacing w:line="320" w:lineRule="exact"/>
              <w:jc w:val="center"/>
              <w:rPr>
                <w:rFonts w:ascii="宋体" w:hAnsi="宋体" w:cs="宋体"/>
                <w:kern w:val="0"/>
                <w:sz w:val="24"/>
                <w:szCs w:val="24"/>
              </w:rPr>
            </w:pPr>
            <w:r>
              <w:rPr>
                <w:rFonts w:hint="eastAsia" w:ascii="宋体" w:hAnsi="宋体" w:cs="宋体"/>
                <w:sz w:val="24"/>
                <w:szCs w:val="24"/>
              </w:rPr>
              <w:t>1</w:t>
            </w:r>
          </w:p>
        </w:tc>
        <w:tc>
          <w:tcPr>
            <w:tcW w:w="5194" w:type="dxa"/>
            <w:vAlign w:val="center"/>
          </w:tcPr>
          <w:p>
            <w:pPr>
              <w:adjustRightInd w:val="0"/>
              <w:snapToGrid w:val="0"/>
              <w:spacing w:line="360" w:lineRule="auto"/>
              <w:jc w:val="left"/>
              <w:rPr>
                <w:rFonts w:ascii="宋体" w:hAnsi="宋体" w:cs="宋体"/>
                <w:kern w:val="0"/>
                <w:sz w:val="24"/>
                <w:szCs w:val="24"/>
              </w:rPr>
            </w:pPr>
            <w:r>
              <w:rPr>
                <w:rFonts w:hint="eastAsia" w:ascii="宋体" w:hAnsi="宋体" w:cs="宋体"/>
                <w:sz w:val="24"/>
                <w:szCs w:val="24"/>
              </w:rPr>
              <w:t>合格供应商的资格条件</w:t>
            </w:r>
          </w:p>
        </w:tc>
        <w:tc>
          <w:tcPr>
            <w:tcW w:w="1951" w:type="dxa"/>
            <w:vAlign w:val="center"/>
          </w:tcPr>
          <w:p>
            <w:pPr>
              <w:snapToGrid w:val="0"/>
              <w:spacing w:line="320" w:lineRule="exact"/>
              <w:rPr>
                <w:rFonts w:ascii="宋体" w:hAnsi="宋体" w:cs="宋体"/>
                <w:kern w:val="0"/>
                <w:sz w:val="24"/>
                <w:szCs w:val="24"/>
              </w:rPr>
            </w:pPr>
          </w:p>
        </w:tc>
        <w:tc>
          <w:tcPr>
            <w:tcW w:w="1614" w:type="dxa"/>
            <w:vAlign w:val="center"/>
          </w:tcPr>
          <w:p>
            <w:pPr>
              <w:snapToGrid w:val="0"/>
              <w:spacing w:line="320" w:lineRule="exact"/>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665" w:type="dxa"/>
            <w:vAlign w:val="center"/>
          </w:tcPr>
          <w:p>
            <w:pPr>
              <w:snapToGrid w:val="0"/>
              <w:spacing w:line="320" w:lineRule="exact"/>
              <w:jc w:val="center"/>
              <w:rPr>
                <w:rFonts w:ascii="宋体" w:hAnsi="宋体" w:cs="宋体"/>
                <w:kern w:val="0"/>
                <w:sz w:val="24"/>
                <w:szCs w:val="24"/>
              </w:rPr>
            </w:pPr>
            <w:r>
              <w:rPr>
                <w:rFonts w:hint="eastAsia" w:ascii="宋体" w:hAnsi="宋体" w:cs="宋体"/>
                <w:kern w:val="0"/>
                <w:sz w:val="24"/>
                <w:szCs w:val="24"/>
              </w:rPr>
              <w:t>2</w:t>
            </w:r>
          </w:p>
        </w:tc>
        <w:tc>
          <w:tcPr>
            <w:tcW w:w="5194" w:type="dxa"/>
            <w:vAlign w:val="center"/>
          </w:tcPr>
          <w:p>
            <w:pPr>
              <w:adjustRightInd w:val="0"/>
              <w:snapToGrid w:val="0"/>
              <w:spacing w:line="360" w:lineRule="auto"/>
              <w:jc w:val="left"/>
              <w:rPr>
                <w:rFonts w:ascii="宋体" w:hAnsi="宋体" w:cs="宋体"/>
                <w:sz w:val="24"/>
                <w:szCs w:val="24"/>
              </w:rPr>
            </w:pPr>
            <w:r>
              <w:rPr>
                <w:rFonts w:hint="eastAsia" w:ascii="宋体" w:hAnsi="宋体" w:cs="宋体"/>
                <w:sz w:val="24"/>
                <w:szCs w:val="24"/>
              </w:rPr>
              <w:t>谈判响应产品的数量、规格、品牌型号、配置、技术指标、描述、质量要求是否符合谈判采购文件要求</w:t>
            </w:r>
          </w:p>
        </w:tc>
        <w:tc>
          <w:tcPr>
            <w:tcW w:w="1951" w:type="dxa"/>
            <w:vAlign w:val="center"/>
          </w:tcPr>
          <w:p>
            <w:pPr>
              <w:snapToGrid w:val="0"/>
              <w:spacing w:line="320" w:lineRule="exact"/>
              <w:rPr>
                <w:rFonts w:ascii="宋体" w:hAnsi="宋体" w:cs="宋体"/>
                <w:kern w:val="0"/>
                <w:sz w:val="24"/>
                <w:szCs w:val="24"/>
              </w:rPr>
            </w:pPr>
          </w:p>
        </w:tc>
        <w:tc>
          <w:tcPr>
            <w:tcW w:w="1614" w:type="dxa"/>
            <w:vAlign w:val="center"/>
          </w:tcPr>
          <w:p>
            <w:pPr>
              <w:snapToGrid w:val="0"/>
              <w:spacing w:line="320" w:lineRule="exact"/>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6" w:hRule="atLeast"/>
          <w:jc w:val="center"/>
        </w:trPr>
        <w:tc>
          <w:tcPr>
            <w:tcW w:w="665" w:type="dxa"/>
            <w:vAlign w:val="center"/>
          </w:tcPr>
          <w:p>
            <w:pPr>
              <w:snapToGrid w:val="0"/>
              <w:spacing w:line="320" w:lineRule="exact"/>
              <w:jc w:val="center"/>
              <w:rPr>
                <w:rFonts w:ascii="宋体" w:hAnsi="宋体" w:cs="宋体"/>
                <w:kern w:val="0"/>
                <w:sz w:val="24"/>
                <w:szCs w:val="24"/>
              </w:rPr>
            </w:pPr>
            <w:r>
              <w:rPr>
                <w:rFonts w:hint="eastAsia" w:ascii="宋体" w:hAnsi="宋体" w:cs="宋体"/>
                <w:kern w:val="0"/>
                <w:sz w:val="24"/>
                <w:szCs w:val="24"/>
              </w:rPr>
              <w:t>3</w:t>
            </w:r>
          </w:p>
        </w:tc>
        <w:tc>
          <w:tcPr>
            <w:tcW w:w="5194" w:type="dxa"/>
            <w:vAlign w:val="center"/>
          </w:tcPr>
          <w:p>
            <w:pPr>
              <w:tabs>
                <w:tab w:val="left" w:pos="540"/>
              </w:tabs>
              <w:snapToGrid w:val="0"/>
              <w:spacing w:line="400" w:lineRule="exact"/>
              <w:rPr>
                <w:rFonts w:ascii="宋体" w:hAnsi="宋体" w:cs="宋体"/>
                <w:kern w:val="0"/>
                <w:sz w:val="24"/>
                <w:szCs w:val="24"/>
              </w:rPr>
            </w:pPr>
            <w:r>
              <w:rPr>
                <w:rFonts w:ascii="宋体" w:hAnsi="宋体" w:cs="宋体"/>
                <w:kern w:val="0"/>
                <w:sz w:val="24"/>
                <w:szCs w:val="24"/>
              </w:rPr>
              <w:t>提供</w:t>
            </w:r>
            <w:r>
              <w:rPr>
                <w:rFonts w:hint="eastAsia" w:ascii="宋体" w:hAnsi="宋体" w:cs="宋体"/>
                <w:kern w:val="0"/>
                <w:sz w:val="24"/>
                <w:szCs w:val="24"/>
              </w:rPr>
              <w:t>核心产品</w:t>
            </w:r>
            <w:r>
              <w:rPr>
                <w:rFonts w:ascii="宋体" w:hAnsi="宋体" w:cs="宋体"/>
                <w:kern w:val="0"/>
                <w:sz w:val="24"/>
                <w:szCs w:val="24"/>
              </w:rPr>
              <w:t>（</w:t>
            </w:r>
            <w:r>
              <w:rPr>
                <w:rFonts w:hint="eastAsia"/>
                <w:sz w:val="24"/>
                <w:szCs w:val="24"/>
              </w:rPr>
              <w:t>终端</w:t>
            </w:r>
            <w:r>
              <w:rPr>
                <w:sz w:val="24"/>
                <w:szCs w:val="24"/>
              </w:rPr>
              <w:t>安全管理系统</w:t>
            </w:r>
            <w:r>
              <w:rPr>
                <w:rFonts w:hint="eastAsia"/>
                <w:sz w:val="24"/>
                <w:szCs w:val="24"/>
              </w:rPr>
              <w:t>和</w:t>
            </w:r>
            <w:r>
              <w:rPr>
                <w:sz w:val="24"/>
                <w:szCs w:val="24"/>
              </w:rPr>
              <w:t>服务器端安全管理系统</w:t>
            </w:r>
            <w:r>
              <w:rPr>
                <w:rFonts w:ascii="宋体" w:hAnsi="宋体" w:cs="宋体"/>
                <w:kern w:val="0"/>
                <w:sz w:val="24"/>
                <w:szCs w:val="24"/>
              </w:rPr>
              <w:t>）原厂确认的技术参数偏离表并加盖生产厂商公章</w:t>
            </w:r>
            <w:r>
              <w:rPr>
                <w:rFonts w:hint="eastAsia" w:ascii="宋体" w:hAnsi="宋体" w:cs="宋体"/>
                <w:kern w:val="0"/>
                <w:sz w:val="24"/>
                <w:szCs w:val="24"/>
              </w:rPr>
              <w:t>。</w:t>
            </w:r>
          </w:p>
        </w:tc>
        <w:tc>
          <w:tcPr>
            <w:tcW w:w="1951" w:type="dxa"/>
            <w:vAlign w:val="center"/>
          </w:tcPr>
          <w:p>
            <w:pPr>
              <w:snapToGrid w:val="0"/>
              <w:spacing w:line="320" w:lineRule="exact"/>
              <w:rPr>
                <w:rFonts w:ascii="宋体" w:hAnsi="宋体" w:cs="宋体"/>
                <w:kern w:val="0"/>
                <w:sz w:val="24"/>
                <w:szCs w:val="24"/>
              </w:rPr>
            </w:pPr>
          </w:p>
        </w:tc>
        <w:tc>
          <w:tcPr>
            <w:tcW w:w="1614" w:type="dxa"/>
            <w:vAlign w:val="center"/>
          </w:tcPr>
          <w:p>
            <w:pPr>
              <w:snapToGrid w:val="0"/>
              <w:spacing w:line="320" w:lineRule="exact"/>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5" w:type="dxa"/>
            <w:vAlign w:val="center"/>
          </w:tcPr>
          <w:p>
            <w:pPr>
              <w:snapToGrid w:val="0"/>
              <w:spacing w:line="320" w:lineRule="exact"/>
              <w:jc w:val="center"/>
              <w:rPr>
                <w:rFonts w:ascii="宋体" w:hAnsi="宋体" w:cs="宋体"/>
                <w:kern w:val="0"/>
                <w:sz w:val="24"/>
                <w:szCs w:val="24"/>
              </w:rPr>
            </w:pPr>
            <w:r>
              <w:rPr>
                <w:rFonts w:hint="eastAsia" w:ascii="宋体" w:hAnsi="宋体" w:cs="宋体"/>
                <w:kern w:val="0"/>
                <w:sz w:val="24"/>
                <w:szCs w:val="24"/>
              </w:rPr>
              <w:t>4</w:t>
            </w:r>
          </w:p>
        </w:tc>
        <w:tc>
          <w:tcPr>
            <w:tcW w:w="5194" w:type="dxa"/>
            <w:vAlign w:val="center"/>
          </w:tcPr>
          <w:p>
            <w:pPr>
              <w:adjustRightInd w:val="0"/>
              <w:snapToGrid w:val="0"/>
              <w:spacing w:line="360" w:lineRule="auto"/>
              <w:jc w:val="left"/>
              <w:rPr>
                <w:rFonts w:ascii="宋体" w:hAnsi="宋体" w:cs="宋体"/>
                <w:sz w:val="24"/>
                <w:szCs w:val="24"/>
              </w:rPr>
            </w:pPr>
            <w:r>
              <w:rPr>
                <w:rFonts w:hint="eastAsia" w:ascii="宋体" w:hAnsi="宋体" w:cs="宋体"/>
                <w:sz w:val="24"/>
                <w:szCs w:val="24"/>
              </w:rPr>
              <w:t>响应产品的交货时间、付款方式、质保期</w:t>
            </w:r>
            <w:r>
              <w:rPr>
                <w:rFonts w:hint="eastAsia" w:ascii="宋体" w:hAnsi="宋体"/>
                <w:sz w:val="24"/>
                <w:szCs w:val="24"/>
              </w:rPr>
              <w:t>和售后服务承诺（包括服务响应时间，设备维护方式和时间等）</w:t>
            </w:r>
          </w:p>
        </w:tc>
        <w:tc>
          <w:tcPr>
            <w:tcW w:w="1951" w:type="dxa"/>
            <w:vAlign w:val="center"/>
          </w:tcPr>
          <w:p>
            <w:pPr>
              <w:snapToGrid w:val="0"/>
              <w:spacing w:line="320" w:lineRule="exact"/>
              <w:rPr>
                <w:rFonts w:ascii="宋体" w:hAnsi="宋体" w:cs="宋体"/>
                <w:kern w:val="0"/>
                <w:sz w:val="24"/>
                <w:szCs w:val="24"/>
              </w:rPr>
            </w:pPr>
          </w:p>
        </w:tc>
        <w:tc>
          <w:tcPr>
            <w:tcW w:w="1614" w:type="dxa"/>
            <w:vAlign w:val="center"/>
          </w:tcPr>
          <w:p>
            <w:pPr>
              <w:tabs>
                <w:tab w:val="left" w:pos="540"/>
              </w:tabs>
              <w:snapToGrid w:val="0"/>
              <w:spacing w:line="400" w:lineRule="exact"/>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5" w:type="dxa"/>
            <w:vAlign w:val="center"/>
          </w:tcPr>
          <w:p>
            <w:pPr>
              <w:snapToGrid w:val="0"/>
              <w:spacing w:line="320" w:lineRule="exact"/>
              <w:jc w:val="center"/>
              <w:rPr>
                <w:rFonts w:ascii="宋体" w:hAnsi="宋体" w:cs="宋体"/>
                <w:kern w:val="0"/>
                <w:sz w:val="24"/>
                <w:szCs w:val="24"/>
              </w:rPr>
            </w:pPr>
            <w:r>
              <w:rPr>
                <w:rFonts w:hint="eastAsia" w:ascii="宋体" w:hAnsi="宋体" w:cs="宋体"/>
                <w:kern w:val="0"/>
                <w:sz w:val="24"/>
                <w:szCs w:val="24"/>
              </w:rPr>
              <w:t>5</w:t>
            </w:r>
          </w:p>
        </w:tc>
        <w:tc>
          <w:tcPr>
            <w:tcW w:w="5194" w:type="dxa"/>
            <w:vAlign w:val="center"/>
          </w:tcPr>
          <w:p>
            <w:pPr>
              <w:adjustRightInd w:val="0"/>
              <w:snapToGrid w:val="0"/>
              <w:spacing w:line="360" w:lineRule="auto"/>
              <w:jc w:val="left"/>
              <w:rPr>
                <w:rFonts w:ascii="宋体" w:hAnsi="宋体" w:cs="宋体"/>
                <w:b w:val="0"/>
                <w:sz w:val="24"/>
                <w:szCs w:val="24"/>
              </w:rPr>
            </w:pPr>
            <w:r>
              <w:rPr>
                <w:rFonts w:hint="eastAsia"/>
                <w:sz w:val="24"/>
                <w:szCs w:val="24"/>
              </w:rPr>
              <w:t>终端</w:t>
            </w:r>
            <w:r>
              <w:rPr>
                <w:sz w:val="24"/>
                <w:szCs w:val="24"/>
              </w:rPr>
              <w:t>安全管理系统</w:t>
            </w:r>
            <w:r>
              <w:rPr>
                <w:rFonts w:hint="eastAsia"/>
                <w:sz w:val="24"/>
                <w:szCs w:val="24"/>
              </w:rPr>
              <w:t>和</w:t>
            </w:r>
            <w:r>
              <w:rPr>
                <w:sz w:val="24"/>
                <w:szCs w:val="24"/>
              </w:rPr>
              <w:t>服务器端安全管理系统</w:t>
            </w:r>
            <w:r>
              <w:rPr>
                <w:rFonts w:hint="eastAsia" w:cs="宋体" w:hAnsiTheme="minorEastAsia"/>
                <w:kern w:val="0"/>
                <w:sz w:val="24"/>
                <w:szCs w:val="24"/>
              </w:rPr>
              <w:t>功能截图、检测报告复印件、软件著作权复印件及其他要求提供的证明材料</w:t>
            </w:r>
            <w:r>
              <w:rPr>
                <w:rFonts w:hint="eastAsia"/>
                <w:sz w:val="24"/>
                <w:szCs w:val="24"/>
              </w:rPr>
              <w:t>；</w:t>
            </w:r>
          </w:p>
        </w:tc>
        <w:tc>
          <w:tcPr>
            <w:tcW w:w="1951" w:type="dxa"/>
            <w:vAlign w:val="center"/>
          </w:tcPr>
          <w:p>
            <w:pPr>
              <w:snapToGrid w:val="0"/>
              <w:spacing w:line="320" w:lineRule="exact"/>
              <w:rPr>
                <w:rFonts w:ascii="宋体" w:hAnsi="宋体" w:cs="宋体"/>
                <w:kern w:val="0"/>
                <w:sz w:val="24"/>
                <w:szCs w:val="24"/>
              </w:rPr>
            </w:pPr>
          </w:p>
        </w:tc>
        <w:tc>
          <w:tcPr>
            <w:tcW w:w="1614" w:type="dxa"/>
            <w:vAlign w:val="center"/>
          </w:tcPr>
          <w:p>
            <w:pPr>
              <w:snapToGrid w:val="0"/>
              <w:spacing w:line="320" w:lineRule="exact"/>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5" w:type="dxa"/>
            <w:vAlign w:val="center"/>
          </w:tcPr>
          <w:p>
            <w:pPr>
              <w:snapToGrid w:val="0"/>
              <w:spacing w:line="320" w:lineRule="exact"/>
              <w:jc w:val="center"/>
              <w:rPr>
                <w:rFonts w:ascii="宋体" w:hAnsi="宋体" w:cs="宋体"/>
                <w:kern w:val="0"/>
                <w:sz w:val="24"/>
                <w:szCs w:val="24"/>
              </w:rPr>
            </w:pPr>
            <w:r>
              <w:rPr>
                <w:rFonts w:hint="eastAsia" w:ascii="宋体" w:hAnsi="宋体" w:cs="宋体"/>
                <w:kern w:val="0"/>
                <w:sz w:val="24"/>
                <w:szCs w:val="24"/>
              </w:rPr>
              <w:t>6</w:t>
            </w:r>
          </w:p>
        </w:tc>
        <w:tc>
          <w:tcPr>
            <w:tcW w:w="5194" w:type="dxa"/>
            <w:vAlign w:val="center"/>
          </w:tcPr>
          <w:p>
            <w:pPr>
              <w:adjustRightInd w:val="0"/>
              <w:snapToGrid w:val="0"/>
              <w:spacing w:line="360" w:lineRule="auto"/>
              <w:jc w:val="left"/>
              <w:rPr>
                <w:rFonts w:ascii="宋体" w:hAnsi="宋体" w:cs="宋体"/>
                <w:sz w:val="24"/>
                <w:szCs w:val="24"/>
              </w:rPr>
            </w:pPr>
            <w:r>
              <w:rPr>
                <w:rFonts w:hint="eastAsia"/>
                <w:sz w:val="24"/>
                <w:szCs w:val="24"/>
              </w:rPr>
              <w:t>提供核心产品</w:t>
            </w:r>
            <w:r>
              <w:rPr>
                <w:sz w:val="24"/>
                <w:szCs w:val="24"/>
              </w:rPr>
              <w:t>（</w:t>
            </w:r>
            <w:r>
              <w:rPr>
                <w:rFonts w:hint="eastAsia"/>
                <w:sz w:val="24"/>
                <w:szCs w:val="24"/>
              </w:rPr>
              <w:t>终端</w:t>
            </w:r>
            <w:r>
              <w:rPr>
                <w:sz w:val="24"/>
                <w:szCs w:val="24"/>
              </w:rPr>
              <w:t>安全管理系统</w:t>
            </w:r>
            <w:r>
              <w:rPr>
                <w:rFonts w:hint="eastAsia"/>
                <w:sz w:val="24"/>
                <w:szCs w:val="24"/>
              </w:rPr>
              <w:t>和</w:t>
            </w:r>
            <w:r>
              <w:rPr>
                <w:sz w:val="24"/>
                <w:szCs w:val="24"/>
              </w:rPr>
              <w:t>服务器端安全管理系统）的原厂质保承诺书并加盖生产厂商公章</w:t>
            </w:r>
            <w:r>
              <w:rPr>
                <w:rFonts w:hint="eastAsia"/>
                <w:sz w:val="24"/>
                <w:szCs w:val="24"/>
              </w:rPr>
              <w:t>。</w:t>
            </w:r>
          </w:p>
        </w:tc>
        <w:tc>
          <w:tcPr>
            <w:tcW w:w="1951" w:type="dxa"/>
            <w:vAlign w:val="center"/>
          </w:tcPr>
          <w:p>
            <w:pPr>
              <w:snapToGrid w:val="0"/>
              <w:spacing w:line="320" w:lineRule="exact"/>
              <w:rPr>
                <w:rFonts w:ascii="宋体" w:hAnsi="宋体" w:cs="宋体"/>
                <w:kern w:val="0"/>
                <w:sz w:val="24"/>
                <w:szCs w:val="24"/>
              </w:rPr>
            </w:pPr>
          </w:p>
        </w:tc>
        <w:tc>
          <w:tcPr>
            <w:tcW w:w="1614" w:type="dxa"/>
            <w:vAlign w:val="center"/>
          </w:tcPr>
          <w:p>
            <w:pPr>
              <w:snapToGrid w:val="0"/>
              <w:spacing w:line="320" w:lineRule="exact"/>
              <w:jc w:val="center"/>
              <w:rPr>
                <w:rFonts w:ascii="宋体" w:hAnsi="宋体" w:cs="宋体"/>
                <w:kern w:val="0"/>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65" w:type="dxa"/>
            <w:vAlign w:val="center"/>
          </w:tcPr>
          <w:p>
            <w:pPr>
              <w:snapToGrid w:val="0"/>
              <w:spacing w:line="320" w:lineRule="exact"/>
              <w:jc w:val="center"/>
              <w:rPr>
                <w:rFonts w:ascii="宋体" w:hAnsi="宋体" w:cs="宋体"/>
                <w:kern w:val="0"/>
                <w:sz w:val="24"/>
                <w:szCs w:val="24"/>
              </w:rPr>
            </w:pPr>
            <w:r>
              <w:rPr>
                <w:rFonts w:hint="eastAsia" w:ascii="宋体" w:hAnsi="宋体" w:cs="宋体"/>
                <w:kern w:val="0"/>
                <w:sz w:val="24"/>
                <w:szCs w:val="24"/>
              </w:rPr>
              <w:t>7</w:t>
            </w:r>
          </w:p>
        </w:tc>
        <w:tc>
          <w:tcPr>
            <w:tcW w:w="5194" w:type="dxa"/>
            <w:vAlign w:val="center"/>
          </w:tcPr>
          <w:p>
            <w:pPr>
              <w:tabs>
                <w:tab w:val="left" w:pos="0"/>
              </w:tabs>
              <w:snapToGrid w:val="0"/>
              <w:spacing w:line="320" w:lineRule="exact"/>
              <w:jc w:val="left"/>
              <w:rPr>
                <w:rFonts w:ascii="宋体" w:hAnsi="宋体" w:cs="宋体"/>
                <w:kern w:val="0"/>
                <w:sz w:val="24"/>
                <w:szCs w:val="24"/>
              </w:rPr>
            </w:pPr>
            <w:r>
              <w:rPr>
                <w:rFonts w:hint="eastAsia" w:ascii="宋体" w:hAnsi="宋体" w:cs="宋体"/>
                <w:kern w:val="0"/>
                <w:sz w:val="24"/>
                <w:szCs w:val="24"/>
              </w:rPr>
              <w:t>谈判文件所要求的其它条款</w:t>
            </w:r>
          </w:p>
        </w:tc>
        <w:tc>
          <w:tcPr>
            <w:tcW w:w="1951" w:type="dxa"/>
            <w:vAlign w:val="center"/>
          </w:tcPr>
          <w:p>
            <w:pPr>
              <w:snapToGrid w:val="0"/>
              <w:spacing w:line="320" w:lineRule="exact"/>
              <w:rPr>
                <w:rFonts w:ascii="宋体" w:hAnsi="宋体" w:cs="宋体"/>
                <w:kern w:val="0"/>
                <w:sz w:val="24"/>
                <w:szCs w:val="24"/>
              </w:rPr>
            </w:pPr>
          </w:p>
        </w:tc>
        <w:tc>
          <w:tcPr>
            <w:tcW w:w="1614" w:type="dxa"/>
            <w:vAlign w:val="center"/>
          </w:tcPr>
          <w:p>
            <w:pPr>
              <w:snapToGrid w:val="0"/>
              <w:spacing w:line="320" w:lineRule="exact"/>
              <w:jc w:val="center"/>
              <w:rPr>
                <w:rFonts w:ascii="宋体" w:hAnsi="宋体" w:cs="宋体"/>
                <w:kern w:val="0"/>
                <w:sz w:val="24"/>
                <w:szCs w:val="24"/>
              </w:rPr>
            </w:pPr>
          </w:p>
        </w:tc>
      </w:tr>
    </w:tbl>
    <w:p>
      <w:pPr>
        <w:tabs>
          <w:tab w:val="left" w:pos="2870"/>
        </w:tabs>
        <w:spacing w:line="440" w:lineRule="exact"/>
        <w:ind w:firstLine="420"/>
        <w:rPr>
          <w:rFonts w:ascii="宋体" w:hAnsi="宋体" w:cs="宋体"/>
          <w:b w:val="0"/>
          <w:bCs/>
          <w:sz w:val="21"/>
          <w:szCs w:val="21"/>
        </w:rPr>
      </w:pPr>
    </w:p>
    <w:p/>
    <w:sectPr>
      <w:pgSz w:w="11906" w:h="16838"/>
      <w:pgMar w:top="1440" w:right="1800" w:bottom="1440" w:left="1800" w:header="851" w:footer="992" w:gutter="0"/>
      <w:cols w:space="425" w:num="1"/>
      <w:docGrid w:type="lines" w:linePitch="38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14F3532"/>
    <w:multiLevelType w:val="multilevel"/>
    <w:tmpl w:val="414F3532"/>
    <w:lvl w:ilvl="0" w:tentative="0">
      <w:start w:val="1"/>
      <w:numFmt w:val="decimal"/>
      <w:lvlText w:val="%1."/>
      <w:lvlJc w:val="left"/>
      <w:pPr>
        <w:tabs>
          <w:tab w:val="left" w:pos="425"/>
        </w:tabs>
        <w:ind w:left="425" w:hanging="425"/>
      </w:pPr>
    </w:lvl>
    <w:lvl w:ilvl="1" w:tentative="0">
      <w:start w:val="1"/>
      <w:numFmt w:val="decimal"/>
      <w:lvlText w:val="%1.%2."/>
      <w:lvlJc w:val="left"/>
      <w:pPr>
        <w:tabs>
          <w:tab w:val="left" w:pos="567"/>
        </w:tabs>
        <w:ind w:left="567" w:hanging="567"/>
      </w:pPr>
    </w:lvl>
    <w:lvl w:ilvl="2" w:tentative="0">
      <w:start w:val="1"/>
      <w:numFmt w:val="decimal"/>
      <w:lvlText w:val="%1.%2.%3."/>
      <w:lvlJc w:val="left"/>
      <w:pPr>
        <w:tabs>
          <w:tab w:val="left" w:pos="709"/>
        </w:tabs>
        <w:ind w:left="709" w:hanging="709"/>
      </w:pPr>
    </w:lvl>
    <w:lvl w:ilvl="3" w:tentative="0">
      <w:start w:val="1"/>
      <w:numFmt w:val="decimal"/>
      <w:lvlText w:val="%1.%2.%3.%4."/>
      <w:lvlJc w:val="left"/>
      <w:pPr>
        <w:tabs>
          <w:tab w:val="left" w:pos="851"/>
        </w:tabs>
        <w:ind w:left="851" w:hanging="851"/>
      </w:pPr>
    </w:lvl>
    <w:lvl w:ilvl="4" w:tentative="0">
      <w:start w:val="1"/>
      <w:numFmt w:val="decimal"/>
      <w:lvlText w:val="%1.%2.%3.%4.%5."/>
      <w:lvlJc w:val="left"/>
      <w:pPr>
        <w:tabs>
          <w:tab w:val="left" w:pos="992"/>
        </w:tabs>
        <w:ind w:left="992" w:hanging="992"/>
      </w:pPr>
    </w:lvl>
    <w:lvl w:ilvl="5" w:tentative="0">
      <w:start w:val="1"/>
      <w:numFmt w:val="decimal"/>
      <w:lvlText w:val="%1.%2.%3.%4.%5.%6."/>
      <w:lvlJc w:val="left"/>
      <w:pPr>
        <w:tabs>
          <w:tab w:val="left" w:pos="1134"/>
        </w:tabs>
        <w:ind w:left="1134" w:hanging="1134"/>
      </w:pPr>
    </w:lvl>
    <w:lvl w:ilvl="6" w:tentative="0">
      <w:start w:val="1"/>
      <w:numFmt w:val="decimal"/>
      <w:lvlText w:val="%1.%2.%3.%4.%5.%6.%7."/>
      <w:lvlJc w:val="left"/>
      <w:pPr>
        <w:tabs>
          <w:tab w:val="left" w:pos="1276"/>
        </w:tabs>
        <w:ind w:left="1276" w:hanging="1276"/>
      </w:pPr>
    </w:lvl>
    <w:lvl w:ilvl="7" w:tentative="0">
      <w:start w:val="1"/>
      <w:numFmt w:val="decimal"/>
      <w:lvlText w:val="%1.%2.%3.%4.%5.%6.%7.%8."/>
      <w:lvlJc w:val="left"/>
      <w:pPr>
        <w:tabs>
          <w:tab w:val="left" w:pos="1418"/>
        </w:tabs>
        <w:ind w:left="1418" w:hanging="1418"/>
      </w:pPr>
    </w:lvl>
    <w:lvl w:ilvl="8" w:tentative="0">
      <w:start w:val="1"/>
      <w:numFmt w:val="decimal"/>
      <w:lvlText w:val="%1.%2.%3.%4.%5.%6.%7.%8.%9."/>
      <w:lvlJc w:val="left"/>
      <w:pPr>
        <w:tabs>
          <w:tab w:val="left" w:pos="1559"/>
        </w:tabs>
        <w:ind w:left="1559" w:hanging="1559"/>
      </w:pPr>
    </w:lvl>
  </w:abstractNum>
  <w:abstractNum w:abstractNumId="1">
    <w:nsid w:val="528634F4"/>
    <w:multiLevelType w:val="multilevel"/>
    <w:tmpl w:val="528634F4"/>
    <w:lvl w:ilvl="0" w:tentative="0">
      <w:start w:val="1"/>
      <w:numFmt w:val="decimal"/>
      <w:lvlText w:val="%1、"/>
      <w:lvlJc w:val="left"/>
      <w:pPr>
        <w:ind w:left="1440" w:hanging="720"/>
      </w:pPr>
      <w:rPr>
        <w:rFonts w:hint="default"/>
      </w:rPr>
    </w:lvl>
    <w:lvl w:ilvl="1" w:tentative="0">
      <w:start w:val="1"/>
      <w:numFmt w:val="lowerLetter"/>
      <w:lvlText w:val="%2)"/>
      <w:lvlJc w:val="left"/>
      <w:pPr>
        <w:ind w:left="1560" w:hanging="420"/>
      </w:pPr>
    </w:lvl>
    <w:lvl w:ilvl="2" w:tentative="0">
      <w:start w:val="1"/>
      <w:numFmt w:val="lowerRoman"/>
      <w:lvlText w:val="%3."/>
      <w:lvlJc w:val="right"/>
      <w:pPr>
        <w:ind w:left="1980" w:hanging="420"/>
      </w:pPr>
    </w:lvl>
    <w:lvl w:ilvl="3" w:tentative="0">
      <w:start w:val="1"/>
      <w:numFmt w:val="decimal"/>
      <w:lvlText w:val="%4."/>
      <w:lvlJc w:val="left"/>
      <w:pPr>
        <w:ind w:left="2400" w:hanging="420"/>
      </w:pPr>
    </w:lvl>
    <w:lvl w:ilvl="4" w:tentative="0">
      <w:start w:val="1"/>
      <w:numFmt w:val="lowerLetter"/>
      <w:lvlText w:val="%5)"/>
      <w:lvlJc w:val="left"/>
      <w:pPr>
        <w:ind w:left="2820" w:hanging="420"/>
      </w:pPr>
    </w:lvl>
    <w:lvl w:ilvl="5" w:tentative="0">
      <w:start w:val="1"/>
      <w:numFmt w:val="lowerRoman"/>
      <w:lvlText w:val="%6."/>
      <w:lvlJc w:val="right"/>
      <w:pPr>
        <w:ind w:left="3240" w:hanging="420"/>
      </w:pPr>
    </w:lvl>
    <w:lvl w:ilvl="6" w:tentative="0">
      <w:start w:val="1"/>
      <w:numFmt w:val="decimal"/>
      <w:lvlText w:val="%7."/>
      <w:lvlJc w:val="left"/>
      <w:pPr>
        <w:ind w:left="3660" w:hanging="420"/>
      </w:pPr>
    </w:lvl>
    <w:lvl w:ilvl="7" w:tentative="0">
      <w:start w:val="1"/>
      <w:numFmt w:val="lowerLetter"/>
      <w:lvlText w:val="%8)"/>
      <w:lvlJc w:val="left"/>
      <w:pPr>
        <w:ind w:left="4080" w:hanging="420"/>
      </w:pPr>
    </w:lvl>
    <w:lvl w:ilvl="8" w:tentative="0">
      <w:start w:val="1"/>
      <w:numFmt w:val="lowerRoman"/>
      <w:lvlText w:val="%9."/>
      <w:lvlJc w:val="right"/>
      <w:pPr>
        <w:ind w:left="4500" w:hanging="420"/>
      </w:pPr>
    </w:lvl>
  </w:abstractNum>
  <w:abstractNum w:abstractNumId="2">
    <w:nsid w:val="5A07DABE"/>
    <w:multiLevelType w:val="singleLevel"/>
    <w:tmpl w:val="5A07DABE"/>
    <w:lvl w:ilvl="0" w:tentative="0">
      <w:start w:val="1"/>
      <w:numFmt w:val="decimal"/>
      <w:lvlText w:val="%1."/>
      <w:lvlJc w:val="left"/>
      <w:pPr>
        <w:tabs>
          <w:tab w:val="left" w:pos="312"/>
        </w:tabs>
      </w:pPr>
    </w:lvl>
  </w:abstractNum>
  <w:abstractNum w:abstractNumId="3">
    <w:nsid w:val="74595638"/>
    <w:multiLevelType w:val="multilevel"/>
    <w:tmpl w:val="74595638"/>
    <w:lvl w:ilvl="0" w:tentative="0">
      <w:start w:val="1"/>
      <w:numFmt w:val="japaneseCounting"/>
      <w:lvlText w:val="%1、"/>
      <w:lvlJc w:val="left"/>
      <w:pPr>
        <w:ind w:left="720" w:hanging="72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HorizontalSpacing w:val="281"/>
  <w:drawingGridVerticalSpacing w:val="19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2A75D0"/>
    <w:rsid w:val="00016AB2"/>
    <w:rsid w:val="000C732F"/>
    <w:rsid w:val="001630ED"/>
    <w:rsid w:val="001779EA"/>
    <w:rsid w:val="0023524C"/>
    <w:rsid w:val="002852E3"/>
    <w:rsid w:val="002A75D0"/>
    <w:rsid w:val="0033402E"/>
    <w:rsid w:val="0037244E"/>
    <w:rsid w:val="004F0B3F"/>
    <w:rsid w:val="00626B6F"/>
    <w:rsid w:val="006616EA"/>
    <w:rsid w:val="00822536"/>
    <w:rsid w:val="0099555C"/>
    <w:rsid w:val="00CB04FA"/>
    <w:rsid w:val="00F15290"/>
    <w:rsid w:val="00FF2126"/>
    <w:rsid w:val="00FF4F10"/>
    <w:rsid w:val="13A1555C"/>
    <w:rsid w:val="31B042B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EastAsia" w:hAnsiTheme="minorHAnsi" w:eastAsiaTheme="minorEastAsia" w:cstheme="minorEastAsia"/>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qFormat="1" w:uiPriority="99" w:semiHidden="0"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iPriority="59"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EastAsia" w:hAnsiTheme="minorHAnsi" w:eastAsiaTheme="minorEastAsia" w:cstheme="minorEastAsia"/>
      <w:b/>
      <w:kern w:val="44"/>
      <w:sz w:val="28"/>
      <w:szCs w:val="28"/>
      <w:lang w:val="en-US" w:eastAsia="zh-CN" w:bidi="ar-SA"/>
    </w:rPr>
  </w:style>
  <w:style w:type="character" w:default="1" w:styleId="7">
    <w:name w:val="Default Paragraph Font"/>
    <w:semiHidden/>
    <w:unhideWhenUsed/>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2">
    <w:name w:val="footer"/>
    <w:basedOn w:val="1"/>
    <w:link w:val="13"/>
    <w:semiHidden/>
    <w:unhideWhenUsed/>
    <w:qFormat/>
    <w:uiPriority w:val="99"/>
    <w:pPr>
      <w:tabs>
        <w:tab w:val="center" w:pos="4153"/>
        <w:tab w:val="right" w:pos="8306"/>
      </w:tabs>
      <w:snapToGrid w:val="0"/>
      <w:jc w:val="left"/>
    </w:pPr>
    <w:rPr>
      <w:sz w:val="18"/>
      <w:szCs w:val="18"/>
    </w:rPr>
  </w:style>
  <w:style w:type="paragraph" w:styleId="3">
    <w:name w:val="header"/>
    <w:basedOn w:val="1"/>
    <w:link w:val="12"/>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Body Text Indent 3"/>
    <w:basedOn w:val="1"/>
    <w:link w:val="9"/>
    <w:unhideWhenUsed/>
    <w:qFormat/>
    <w:uiPriority w:val="99"/>
    <w:pPr>
      <w:widowControl/>
      <w:spacing w:line="360" w:lineRule="auto"/>
      <w:ind w:firstLine="480" w:firstLineChars="200"/>
    </w:pPr>
    <w:rPr>
      <w:rFonts w:ascii="Times New Roman" w:hAnsi="Times New Roman" w:eastAsia="宋体" w:cs="Times New Roman"/>
      <w:b w:val="0"/>
      <w:kern w:val="0"/>
      <w:sz w:val="24"/>
      <w:szCs w:val="20"/>
    </w:rPr>
  </w:style>
  <w:style w:type="paragraph" w:styleId="5">
    <w:name w:val="Normal (Web)"/>
    <w:basedOn w:val="1"/>
    <w:qFormat/>
    <w:uiPriority w:val="99"/>
    <w:pPr>
      <w:widowControl/>
      <w:spacing w:before="136" w:after="136"/>
      <w:jc w:val="left"/>
    </w:pPr>
    <w:rPr>
      <w:rFonts w:ascii="宋体" w:hAnsi="宋体" w:eastAsia="宋体" w:cs="宋体"/>
      <w:b w:val="0"/>
      <w:kern w:val="0"/>
      <w:sz w:val="24"/>
      <w:szCs w:val="24"/>
    </w:rPr>
  </w:style>
  <w:style w:type="paragraph" w:styleId="8">
    <w:name w:val="List Paragraph"/>
    <w:basedOn w:val="1"/>
    <w:qFormat/>
    <w:uiPriority w:val="34"/>
    <w:pPr>
      <w:ind w:firstLine="420" w:firstLineChars="200"/>
    </w:pPr>
  </w:style>
  <w:style w:type="character" w:customStyle="1" w:styleId="9">
    <w:name w:val="正文文本缩进 3 Char"/>
    <w:basedOn w:val="7"/>
    <w:link w:val="4"/>
    <w:qFormat/>
    <w:uiPriority w:val="99"/>
    <w:rPr>
      <w:rFonts w:ascii="Times New Roman" w:hAnsi="Times New Roman" w:eastAsia="宋体" w:cs="Times New Roman"/>
      <w:kern w:val="0"/>
      <w:sz w:val="24"/>
      <w:szCs w:val="20"/>
    </w:rPr>
  </w:style>
  <w:style w:type="character" w:customStyle="1" w:styleId="10">
    <w:name w:val="_正文段落 Char"/>
    <w:link w:val="11"/>
    <w:qFormat/>
    <w:locked/>
    <w:uiPriority w:val="0"/>
    <w:rPr>
      <w:rFonts w:ascii="宋体" w:hAnsi="宋体"/>
      <w:sz w:val="24"/>
      <w:szCs w:val="24"/>
    </w:rPr>
  </w:style>
  <w:style w:type="paragraph" w:customStyle="1" w:styleId="11">
    <w:name w:val="_正文段落"/>
    <w:basedOn w:val="1"/>
    <w:link w:val="10"/>
    <w:qFormat/>
    <w:uiPriority w:val="0"/>
    <w:pPr>
      <w:spacing w:beforeLines="15" w:line="360" w:lineRule="auto"/>
      <w:ind w:firstLine="480" w:firstLineChars="200"/>
    </w:pPr>
    <w:rPr>
      <w:rFonts w:ascii="宋体" w:hAnsi="宋体"/>
      <w:sz w:val="24"/>
      <w:szCs w:val="24"/>
    </w:rPr>
  </w:style>
  <w:style w:type="character" w:customStyle="1" w:styleId="12">
    <w:name w:val="页眉 Char"/>
    <w:basedOn w:val="7"/>
    <w:link w:val="3"/>
    <w:semiHidden/>
    <w:qFormat/>
    <w:uiPriority w:val="99"/>
    <w:rPr>
      <w:sz w:val="18"/>
      <w:szCs w:val="18"/>
    </w:rPr>
  </w:style>
  <w:style w:type="character" w:customStyle="1" w:styleId="13">
    <w:name w:val="页脚 Char"/>
    <w:basedOn w:val="7"/>
    <w:link w:val="2"/>
    <w:semiHidden/>
    <w:qFormat/>
    <w:uiPriority w:val="99"/>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10</Pages>
  <Words>1250</Words>
  <Characters>7128</Characters>
  <Lines>59</Lines>
  <Paragraphs>16</Paragraphs>
  <TotalTime>8</TotalTime>
  <ScaleCrop>false</ScaleCrop>
  <LinksUpToDate>false</LinksUpToDate>
  <CharactersWithSpaces>8362</CharactersWithSpaces>
  <Application>WPS Office_11.1.0.9740_F1E327BC-269C-435d-A152-05C5408002CA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2020-06-16T04:53:00Z</dcterms:created>
  <dc:creator>ll</dc:creator>
  <cp:lastModifiedBy>宇</cp:lastModifiedBy>
  <dcterms:modified xsi:type="dcterms:W3CDTF">2020-07-06T02:52:52Z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2052-11.1.0.9740</vt:lpwstr>
  </property>
</Properties>
</file>